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2626.htm"/>
      <w:bookmarkStart w:id="1" w:name="ksf6k_0826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Commission File Number: </w:t>
      </w:r>
      <w:r>
        <w:rPr>
          <w:rStyle w:val="StrongEmphasis"/>
        </w:rPr>
        <w:t>333-296228</w:t>
      </w:r>
    </w:p>
    <w:p>
      <w:pPr>
        <w:pStyle w:val="TextBody"/>
        <w:bidi w:val="0"/>
        <w:jc w:val="center"/>
        <w:rPr/>
      </w:pPr>
      <w:r>
        <w:rPr>
          <w:rStyle w:val="StrongEmphasis"/>
          <w:sz w:val="24"/>
        </w:rPr>
        <w:t>DSC Holdings Ltd.</w:t>
      </w:r>
      <w:r>
        <w:rPr/>
        <w:br/>
        <w:t>(Translation of registrant's name into English)</w:t>
      </w:r>
    </w:p>
    <w:p>
      <w:pPr>
        <w:pStyle w:val="TextBody"/>
        <w:bidi w:val="0"/>
        <w:jc w:val="center"/>
        <w:rPr/>
      </w:pPr>
      <w:r>
        <w:rPr>
          <w:rStyle w:val="StrongEmphasis"/>
        </w:rPr>
        <w:t>No. 2 Wangjiang North Road, Room 148</w:t>
        <w:br/>
        <w:t>Zhongshan Community, Baiyun Street</w:t>
      </w:r>
      <w:r>
        <w:rPr/>
        <w:br/>
      </w:r>
      <w:r>
        <w:rPr>
          <w:rStyle w:val="StrongEmphasis"/>
        </w:rPr>
        <w:t>Dongyang, Jinhua City,</w:t>
      </w:r>
      <w:r>
        <w:rPr/>
        <w:br/>
      </w:r>
      <w:r>
        <w:rPr>
          <w:rStyle w:val="StrongEmphasis"/>
        </w:rPr>
        <w:t>Zhejiang Province, People’s Republic of China</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tbl>
      <w:tblPr>
        <w:tblW w:w="6445" w:type="dxa"/>
        <w:jc w:val="left"/>
        <w:tblInd w:w="0" w:type="dxa"/>
        <w:tblLayout w:type="fixed"/>
        <w:tblCellMar>
          <w:top w:w="0" w:type="dxa"/>
          <w:left w:w="0" w:type="dxa"/>
          <w:bottom w:w="0" w:type="dxa"/>
          <w:right w:w="0" w:type="dxa"/>
        </w:tblCellMar>
      </w:tblPr>
      <w:tblGrid>
        <w:gridCol w:w="965"/>
        <w:gridCol w:w="300"/>
        <w:gridCol w:w="5180"/>
      </w:tblGrid>
      <w:tr>
        <w:trPr/>
        <w:tc>
          <w:tcPr>
            <w:tcW w:w="965" w:type="dxa"/>
            <w:tcBorders/>
            <w:vAlign w:val="bottom"/>
          </w:tcPr>
          <w:p>
            <w:pPr>
              <w:pStyle w:val="TableContents"/>
              <w:bidi w:val="0"/>
              <w:spacing w:before="0" w:after="283"/>
              <w:jc w:val="left"/>
              <w:rPr>
                <w:sz w:val="20"/>
                <w:u w:val="single"/>
              </w:rPr>
            </w:pPr>
            <w:r>
              <w:rPr>
                <w:sz w:val="20"/>
                <w:u w:val="single"/>
              </w:rPr>
              <w:t>Exhibit No.</w:t>
            </w:r>
          </w:p>
        </w:tc>
        <w:tc>
          <w:tcPr>
            <w:tcW w:w="300" w:type="dxa"/>
            <w:tcBorders/>
            <w:vAlign w:val="center"/>
          </w:tcPr>
          <w:p>
            <w:pPr>
              <w:pStyle w:val="TableContents"/>
              <w:bidi w:val="0"/>
              <w:spacing w:before="0" w:after="283"/>
              <w:jc w:val="left"/>
              <w:rPr/>
            </w:pPr>
            <w:r>
              <w:rPr/>
              <w:t> </w:t>
            </w:r>
          </w:p>
        </w:tc>
        <w:tc>
          <w:tcPr>
            <w:tcW w:w="5180" w:type="dxa"/>
            <w:tcBorders/>
            <w:vAlign w:val="bottom"/>
          </w:tcPr>
          <w:p>
            <w:pPr>
              <w:pStyle w:val="TableContents"/>
              <w:bidi w:val="0"/>
              <w:spacing w:before="0" w:after="283"/>
              <w:jc w:val="left"/>
              <w:rPr>
                <w:sz w:val="20"/>
                <w:u w:val="single"/>
              </w:rPr>
            </w:pPr>
            <w:r>
              <w:rPr>
                <w:sz w:val="20"/>
                <w:u w:val="single"/>
              </w:rPr>
              <w:t>Description</w:t>
            </w:r>
          </w:p>
        </w:tc>
      </w:tr>
      <w:tr>
        <w:trPr/>
        <w:tc>
          <w:tcPr>
            <w:tcW w:w="96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w:anchor="exh_991.htm">
              <w:r>
                <w:rPr>
                  <w:rStyle w:val="InternetLink"/>
                  <w:sz w:val="20"/>
                </w:rPr>
                <w:t>DSC Reports Second Quarter 2026 Unaudited Financial Results</w:t>
              </w:r>
            </w:hyperlink>
          </w:p>
        </w:tc>
      </w:tr>
    </w:tbl>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DSC Holdings Ltd.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26,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Qin Zou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Qin Zou</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Financial Officer, Director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DSC Reports Second Quarter 2026 Unaudited Financial Results</w:t>
      </w:r>
    </w:p>
    <w:p>
      <w:pPr>
        <w:pStyle w:val="TextBody"/>
        <w:bidi w:val="0"/>
        <w:spacing w:before="0" w:after="283"/>
        <w:jc w:val="left"/>
        <w:rPr/>
      </w:pPr>
      <w:r>
        <w:rPr/>
        <w:t>HANGZHOU, China, Aug. 26, 2026 (GLOBE NEWSWIRE) -- DSC Holdings Ltd. (“</w:t>
      </w:r>
      <w:r>
        <w:rPr>
          <w:b/>
        </w:rPr>
        <w:t>DSC</w:t>
      </w:r>
      <w:r>
        <w:rPr/>
        <w:t>” or the “</w:t>
      </w:r>
      <w:r>
        <w:rPr>
          <w:b/>
        </w:rPr>
        <w:t>Company</w:t>
      </w:r>
      <w:r>
        <w:rPr/>
        <w:t>”) (Nasdaq: DSC), the AI application infrastructure for China’s used car industry, today announced its unaudited financial results for the second quarter ended June 30, 2026.</w:t>
        <w:br/>
        <w:t> </w:t>
      </w:r>
    </w:p>
    <w:tbl>
      <w:tblPr>
        <w:tblW w:w="7460" w:type="dxa"/>
        <w:jc w:val="left"/>
        <w:tblInd w:w="0" w:type="dxa"/>
        <w:tblLayout w:type="fixed"/>
        <w:tblCellMar>
          <w:top w:w="0" w:type="dxa"/>
          <w:left w:w="0" w:type="dxa"/>
          <w:bottom w:w="0" w:type="dxa"/>
          <w:right w:w="0" w:type="dxa"/>
        </w:tblCellMar>
      </w:tblPr>
      <w:tblGrid>
        <w:gridCol w:w="4220"/>
        <w:gridCol w:w="60"/>
        <w:gridCol w:w="60"/>
        <w:gridCol w:w="860"/>
        <w:gridCol w:w="95"/>
        <w:gridCol w:w="60"/>
        <w:gridCol w:w="60"/>
        <w:gridCol w:w="860"/>
        <w:gridCol w:w="95"/>
        <w:gridCol w:w="60"/>
        <w:gridCol w:w="60"/>
        <w:gridCol w:w="860"/>
        <w:gridCol w:w="110"/>
      </w:tblGrid>
      <w:tr>
        <w:trPr/>
        <w:tc>
          <w:tcPr>
            <w:tcW w:w="7460" w:type="dxa"/>
            <w:gridSpan w:val="13"/>
            <w:tcBorders/>
            <w:shd w:fill="FFFFFF" w:val="clear"/>
            <w:vAlign w:val="center"/>
          </w:tcPr>
          <w:p>
            <w:pPr>
              <w:pStyle w:val="TableContents"/>
              <w:bidi w:val="0"/>
              <w:spacing w:before="0" w:after="283"/>
              <w:jc w:val="left"/>
              <w:rPr>
                <w:b/>
              </w:rPr>
            </w:pPr>
            <w:r>
              <w:rPr>
                <w:b/>
              </w:rPr>
              <w:t>FINANCIAL HIGHLIGHTS</w:t>
            </w:r>
          </w:p>
        </w:tc>
      </w:tr>
      <w:tr>
        <w:trPr/>
        <w:tc>
          <w:tcPr>
            <w:tcW w:w="4220" w:type="dxa"/>
            <w:tcBorders/>
            <w:shd w:fill="FFFFFF" w:val="clear"/>
            <w:vAlign w:val="center"/>
          </w:tcPr>
          <w:p>
            <w:pPr>
              <w:pStyle w:val="TableContents"/>
              <w:bidi w:val="0"/>
              <w:spacing w:before="0" w:after="283"/>
              <w:jc w:val="left"/>
              <w:rPr/>
            </w:pPr>
            <w:r>
              <w:rPr/>
              <w:t>(Amounts in millions, except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rStyle w:val="StrongEmphasis"/>
                <w:b/>
              </w:rPr>
              <w:t>Q2 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Q2 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rStyle w:val="StrongEmphasis"/>
                <w:b/>
              </w:rPr>
              <w:t>Q2 2026</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rStyle w:val="StrongEmphasis"/>
                <w:b/>
              </w:rPr>
              <w:t>RMB</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RMB</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rStyle w:val="StrongEmphasis"/>
                <w:b/>
              </w:rPr>
              <w:t>US$</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b/>
              </w:rPr>
            </w:pPr>
            <w:r>
              <w:rPr>
                <w:b/>
              </w:rPr>
              <w:t>167.0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b/>
              </w:rPr>
            </w:pPr>
            <w:r>
              <w:rPr>
                <w:b/>
              </w:rPr>
              <w:t>24.6</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b/>
              </w:rPr>
            </w:pPr>
            <w:r>
              <w:rPr>
                <w:b/>
              </w:rPr>
              <w:t>(240.5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b/>
              </w:rPr>
            </w:pPr>
            <w:r>
              <w:rPr>
                <w:b/>
              </w:rPr>
              <w:t>(35.4</w:t>
            </w:r>
          </w:p>
        </w:tc>
        <w:tc>
          <w:tcPr>
            <w:tcW w:w="110" w:type="dxa"/>
            <w:tcBorders/>
            <w:shd w:fill="FFFFFF" w:val="clear"/>
            <w:vAlign w:val="center"/>
          </w:tcPr>
          <w:p>
            <w:pPr>
              <w:pStyle w:val="TableContents"/>
              <w:bidi w:val="0"/>
              <w:spacing w:before="0" w:after="283"/>
              <w:jc w:val="left"/>
              <w:rPr>
                <w:b/>
              </w:rPr>
            </w:pPr>
            <w:r>
              <w:rPr>
                <w:b/>
              </w:rPr>
              <w:t>)</w:t>
            </w:r>
          </w:p>
        </w:tc>
      </w:tr>
      <w:tr>
        <w:trPr/>
        <w:tc>
          <w:tcPr>
            <w:tcW w:w="4220" w:type="dxa"/>
            <w:tcBorders/>
            <w:shd w:fill="CCEEFF" w:val="clear"/>
            <w:vAlign w:val="center"/>
          </w:tcPr>
          <w:p>
            <w:pPr>
              <w:pStyle w:val="TableContents"/>
              <w:bidi w:val="0"/>
              <w:spacing w:before="0" w:after="283"/>
              <w:jc w:val="both"/>
              <w:rPr/>
            </w:pPr>
            <w:r>
              <w:rPr/>
              <w:t>Adjusted net loss (non-GAAP)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b/>
              </w:rPr>
            </w:pPr>
            <w:r>
              <w:rPr>
                <w:b/>
              </w:rPr>
              <w:t>(7.4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b/>
              </w:rPr>
            </w:pPr>
            <w:r>
              <w:rPr>
                <w:b/>
              </w:rPr>
              <w:t>(1.1</w:t>
            </w:r>
          </w:p>
        </w:tc>
        <w:tc>
          <w:tcPr>
            <w:tcW w:w="110" w:type="dxa"/>
            <w:tcBorders/>
            <w:shd w:fill="CCEEFF" w:val="clear"/>
            <w:vAlign w:val="center"/>
          </w:tcPr>
          <w:p>
            <w:pPr>
              <w:pStyle w:val="TableContents"/>
              <w:bidi w:val="0"/>
              <w:spacing w:before="0" w:after="283"/>
              <w:jc w:val="left"/>
              <w:rPr>
                <w:b/>
              </w:rPr>
            </w:pPr>
            <w:r>
              <w:rPr>
                <w:b/>
              </w:rPr>
              <w:t>)</w:t>
            </w:r>
          </w:p>
        </w:tc>
      </w:tr>
      <w:tr>
        <w:trPr/>
        <w:tc>
          <w:tcPr>
            <w:tcW w:w="4220" w:type="dxa"/>
            <w:tcBorders/>
            <w:shd w:fill="FFFFFF" w:val="clear"/>
            <w:vAlign w:val="center"/>
          </w:tcPr>
          <w:p>
            <w:pPr>
              <w:pStyle w:val="TableContents"/>
              <w:bidi w:val="0"/>
              <w:spacing w:before="0" w:after="283"/>
              <w:jc w:val="both"/>
              <w:rPr/>
            </w:pPr>
            <w:r>
              <w:rPr/>
              <w:t>Adjusted basic and diluted net loss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b/>
              </w:rPr>
            </w:pPr>
            <w:r>
              <w:rPr>
                <w:b/>
              </w:rPr>
              <w:t>(0.15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b/>
              </w:rPr>
            </w:pPr>
            <w:r>
              <w:rPr>
                <w:b/>
              </w:rPr>
              <w:t>(0.02</w:t>
            </w:r>
          </w:p>
        </w:tc>
        <w:tc>
          <w:tcPr>
            <w:tcW w:w="110" w:type="dxa"/>
            <w:tcBorders/>
            <w:shd w:fill="FFFFFF" w:val="clear"/>
            <w:vAlign w:val="center"/>
          </w:tcPr>
          <w:p>
            <w:pPr>
              <w:pStyle w:val="TableContents"/>
              <w:bidi w:val="0"/>
              <w:spacing w:before="0" w:after="283"/>
              <w:jc w:val="left"/>
              <w:rPr>
                <w:b/>
              </w:rPr>
            </w:pPr>
            <w:r>
              <w:rPr>
                <w:b/>
              </w:rPr>
              <w:t>)</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numPr>
          <w:ilvl w:val="0"/>
          <w:numId w:val="2"/>
        </w:numPr>
        <w:tabs>
          <w:tab w:val="clear" w:pos="1134"/>
          <w:tab w:val="left" w:pos="709" w:leader="none"/>
        </w:tabs>
        <w:bidi w:val="0"/>
        <w:spacing w:before="0" w:after="0"/>
        <w:ind w:left="709" w:hanging="283"/>
        <w:jc w:val="left"/>
        <w:rPr/>
      </w:pPr>
      <w:r>
        <w:rPr/>
        <w:t xml:space="preserve">Second quarter revenue increased 3.7% year over year, while adjusted net loss (non-GAAP) narrowed by 61.5%, reflecting continued significant improvement in operating efficiency. </w:t>
        <w:br/>
        <w:t xml:space="preserve">  </w:t>
      </w:r>
    </w:p>
    <w:p>
      <w:pPr>
        <w:pStyle w:val="TextBody"/>
        <w:numPr>
          <w:ilvl w:val="0"/>
          <w:numId w:val="2"/>
        </w:numPr>
        <w:tabs>
          <w:tab w:val="clear" w:pos="1134"/>
          <w:tab w:val="left" w:pos="709" w:leader="none"/>
        </w:tabs>
        <w:bidi w:val="0"/>
        <w:ind w:left="709" w:hanging="283"/>
        <w:jc w:val="left"/>
        <w:rPr/>
      </w:pPr>
      <w:r>
        <w:rPr/>
        <w:t>GAAP net loss was RMB240.5 million (US$35.4 million), primarily reflecting the recognition of RMB227.8 million (US$33.6 million) in share-based compensation upon the completion of the IPO in June 2026 and IPO-related expenses.</w:t>
      </w:r>
    </w:p>
    <w:tbl>
      <w:tblPr>
        <w:tblW w:w="6880" w:type="dxa"/>
        <w:jc w:val="left"/>
        <w:tblInd w:w="0" w:type="dxa"/>
        <w:tblLayout w:type="fixed"/>
        <w:tblCellMar>
          <w:top w:w="0" w:type="dxa"/>
          <w:left w:w="0" w:type="dxa"/>
          <w:bottom w:w="28" w:type="dxa"/>
          <w:right w:w="0" w:type="dxa"/>
        </w:tblCellMar>
      </w:tblPr>
      <w:tblGrid>
        <w:gridCol w:w="5585"/>
        <w:gridCol w:w="60"/>
        <w:gridCol w:w="60"/>
        <w:gridCol w:w="1100"/>
        <w:gridCol w:w="75"/>
      </w:tblGrid>
      <w:tr>
        <w:trPr/>
        <w:tc>
          <w:tcPr>
            <w:tcW w:w="5585" w:type="dxa"/>
            <w:tcBorders>
              <w:bottom w:val="single" w:sz="8" w:space="0" w:color="000000"/>
            </w:tcBorders>
            <w:vAlign w:val="center"/>
          </w:tcPr>
          <w:p>
            <w:pPr>
              <w:pStyle w:val="TableContents"/>
              <w:bidi w:val="0"/>
              <w:spacing w:before="0" w:after="283"/>
              <w:jc w:val="both"/>
              <w:rPr>
                <w:b/>
              </w:rPr>
            </w:pPr>
            <w:r>
              <w:rPr>
                <w:b/>
              </w:rPr>
              <w:t>OPERATING HIGHLIGHTS</w:t>
            </w:r>
          </w:p>
        </w:tc>
        <w:tc>
          <w:tcPr>
            <w:tcW w:w="60" w:type="dxa"/>
            <w:tcBorders>
              <w:bottom w:val="single" w:sz="8" w:space="0" w:color="000000"/>
            </w:tcBorders>
            <w:vAlign w:val="center"/>
          </w:tcPr>
          <w:p>
            <w:pPr>
              <w:pStyle w:val="TableContents"/>
              <w:bidi w:val="0"/>
              <w:spacing w:before="0" w:after="283"/>
              <w:jc w:val="left"/>
              <w:rPr/>
            </w:pPr>
            <w:r>
              <w:rPr/>
              <w:t> </w:t>
            </w:r>
          </w:p>
        </w:tc>
        <w:tc>
          <w:tcPr>
            <w:tcW w:w="1235" w:type="dxa"/>
            <w:gridSpan w:val="3"/>
            <w:tcBorders>
              <w:bottom w:val="single" w:sz="8" w:space="0" w:color="000000"/>
            </w:tcBorders>
            <w:vAlign w:val="center"/>
          </w:tcPr>
          <w:p>
            <w:pPr>
              <w:pStyle w:val="TableContents"/>
              <w:bidi w:val="0"/>
              <w:spacing w:before="0" w:after="283"/>
              <w:jc w:val="right"/>
              <w:rPr>
                <w:b/>
              </w:rPr>
            </w:pPr>
            <w:r>
              <w:rPr>
                <w:b/>
              </w:rPr>
              <w:t>Q2 2026</w:t>
            </w:r>
          </w:p>
        </w:tc>
      </w:tr>
      <w:tr>
        <w:trPr/>
        <w:tc>
          <w:tcPr>
            <w:tcW w:w="5585" w:type="dxa"/>
            <w:tcBorders/>
            <w:shd w:fill="CCEEFF" w:val="clear"/>
            <w:tcMar>
              <w:bottom w:w="0" w:type="dxa"/>
            </w:tcMar>
            <w:vAlign w:val="center"/>
          </w:tcPr>
          <w:p>
            <w:pPr>
              <w:pStyle w:val="TableContents"/>
              <w:bidi w:val="0"/>
              <w:spacing w:before="0" w:after="283"/>
              <w:jc w:val="both"/>
              <w:rPr/>
            </w:pPr>
            <w:r>
              <w:rPr>
                <w:rStyle w:val="StrongEmphasis"/>
                <w:b/>
              </w:rPr>
              <w:t xml:space="preserve">Operating System Engagement Metrics – </w:t>
            </w:r>
            <w:r>
              <w:rPr>
                <w:rStyle w:val="Emphasis"/>
                <w:b/>
              </w:rPr>
              <w:t>DaFengChe</w:t>
            </w:r>
            <w:r>
              <w:rPr>
                <w:rStyle w:val="StrongEmphasis"/>
                <w:b/>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pPr>
            <w:r>
              <w:rPr/>
              <w:t>Dealership MAU</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65,334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pPr>
            <w:r>
              <w:rPr/>
              <w:t>User MAU</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199,933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both"/>
              <w:rPr/>
            </w:pPr>
            <w:r>
              <w:rPr>
                <w:rStyle w:val="StrongEmphasis"/>
                <w:b/>
              </w:rPr>
              <w:t>Monetization Metrics – used car dealers only</w:t>
            </w:r>
            <w:r>
              <w:rPr>
                <w:rStyle w:val="StrongEmphasis"/>
                <w:b/>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pPr>
            <w:r>
              <w:rPr/>
              <w:t>Dealerships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pPr>
            <w:r>
              <w:rPr/>
              <w:t>• </w:t>
            </w:r>
            <w:r>
              <w:rPr/>
              <w:t>Number of monetized used car dealerships</w:t>
            </w:r>
            <w:r>
              <w:rPr>
                <w:position w:val="8"/>
                <w:sz w:val="19"/>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9,146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pPr>
            <w:r>
              <w:rPr/>
              <w:t>• </w:t>
            </w:r>
            <w:r>
              <w:rPr/>
              <w:t>ARPU of monetized used car dealerships</w:t>
            </w: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RMB6,672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pPr>
            <w:r>
              <w:rPr/>
              <w:t>Transaction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pPr>
            <w:r>
              <w:rPr/>
              <w:t>• </w:t>
            </w:r>
            <w:r>
              <w:rPr/>
              <w:t>Number of monetized transaction services</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214,451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pPr>
            <w:r>
              <w:rPr/>
              <w:t>• </w:t>
            </w:r>
            <w:r>
              <w:rPr/>
              <w:t>Average revenue per transaction service</w:t>
            </w:r>
            <w:r>
              <w:rPr>
                <w:position w:val="8"/>
                <w:sz w:val="19"/>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RMB259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numPr>
          <w:ilvl w:val="0"/>
          <w:numId w:val="3"/>
        </w:numPr>
        <w:tabs>
          <w:tab w:val="clear" w:pos="1134"/>
          <w:tab w:val="left" w:pos="709" w:leader="none"/>
        </w:tabs>
        <w:bidi w:val="0"/>
        <w:spacing w:before="0" w:after="0"/>
        <w:ind w:left="709" w:hanging="283"/>
        <w:jc w:val="left"/>
        <w:rPr/>
      </w:pPr>
      <w:r>
        <w:rPr/>
        <w:t xml:space="preserve">Beginning with this Q2 2026 earnings release, the Company starts reporting certain operating metrics for its used car related operations in light of the overall evolution of its businesses. Please note that such used-car-only metrics should not be directly compared to historical operating metrics, which comprised different components.  </w:t>
      </w:r>
    </w:p>
    <w:p>
      <w:pPr>
        <w:pStyle w:val="TextBody"/>
        <w:numPr>
          <w:ilvl w:val="0"/>
          <w:numId w:val="3"/>
        </w:numPr>
        <w:tabs>
          <w:tab w:val="clear" w:pos="1134"/>
          <w:tab w:val="left" w:pos="709" w:leader="none"/>
        </w:tabs>
        <w:bidi w:val="0"/>
        <w:spacing w:before="0" w:after="0"/>
        <w:ind w:left="709" w:hanging="283"/>
        <w:jc w:val="left"/>
        <w:rPr/>
      </w:pPr>
      <w:r>
        <w:rPr/>
        <w:t>“</w:t>
      </w:r>
      <w:r>
        <w:rPr/>
        <w:t xml:space="preserve">Dealership MAU” refers to average monthly active dealership accounts, and “User MAU” refers to average monthly active individual user accounts. Both are measured by the number of unique mobile devices that have accessed DSC’s operating system at least once during a month, except that if a user uses multiple mobile devices to access DSC’s operating system during a given month, they will be counted as only one dealership or one user account. </w:t>
      </w:r>
    </w:p>
    <w:p>
      <w:pPr>
        <w:pStyle w:val="TextBody"/>
        <w:numPr>
          <w:ilvl w:val="0"/>
          <w:numId w:val="3"/>
        </w:numPr>
        <w:tabs>
          <w:tab w:val="clear" w:pos="1134"/>
          <w:tab w:val="left" w:pos="709" w:leader="none"/>
        </w:tabs>
        <w:bidi w:val="0"/>
        <w:spacing w:before="0" w:after="0"/>
        <w:ind w:left="709" w:hanging="283"/>
        <w:jc w:val="left"/>
        <w:rPr/>
      </w:pPr>
      <w:r>
        <w:rPr/>
        <w:t>“</w:t>
      </w:r>
      <w:r>
        <w:rPr/>
        <w:t xml:space="preserve">Monetized used car dealerships” refers to used car dealerships from whom DSC generates revenues by receiving a fee from either the dealership or its collaborator. </w:t>
      </w:r>
    </w:p>
    <w:p>
      <w:pPr>
        <w:pStyle w:val="TextBody"/>
        <w:numPr>
          <w:ilvl w:val="0"/>
          <w:numId w:val="3"/>
        </w:numPr>
        <w:tabs>
          <w:tab w:val="clear" w:pos="1134"/>
          <w:tab w:val="left" w:pos="709" w:leader="none"/>
        </w:tabs>
        <w:bidi w:val="0"/>
        <w:spacing w:before="0" w:after="0"/>
        <w:ind w:left="709" w:hanging="283"/>
        <w:jc w:val="left"/>
        <w:rPr/>
      </w:pPr>
      <w:r>
        <w:rPr/>
        <w:t xml:space="preserve">"ARPU of monetized used car dealerships" refers to the average revenue per monetized used car dealership, calculated by dividing the total revenue generated from monetized used car dealerships by the number of such dealerships during a given period. </w:t>
      </w:r>
    </w:p>
    <w:p>
      <w:pPr>
        <w:pStyle w:val="TextBody"/>
        <w:numPr>
          <w:ilvl w:val="0"/>
          <w:numId w:val="3"/>
        </w:numPr>
        <w:tabs>
          <w:tab w:val="clear" w:pos="1134"/>
          <w:tab w:val="left" w:pos="709" w:leader="none"/>
        </w:tabs>
        <w:bidi w:val="0"/>
        <w:spacing w:before="0" w:after="0"/>
        <w:ind w:left="709" w:hanging="283"/>
        <w:jc w:val="left"/>
        <w:rPr/>
      </w:pPr>
      <w:r>
        <w:rPr/>
        <w:t>“</w:t>
      </w:r>
      <w:r>
        <w:rPr/>
        <w:t xml:space="preserve">Monetized transaction services” refers to used car related transaction services that the Company generates revenues from, primarily B2B matching, used car inspection, car delivery and other B2B collaboration services. The Company also provides some transaction services to used car dealers free of charge. </w:t>
      </w:r>
    </w:p>
    <w:p>
      <w:pPr>
        <w:pStyle w:val="TextBody"/>
        <w:numPr>
          <w:ilvl w:val="0"/>
          <w:numId w:val="3"/>
        </w:numPr>
        <w:tabs>
          <w:tab w:val="clear" w:pos="1134"/>
          <w:tab w:val="left" w:pos="709" w:leader="none"/>
        </w:tabs>
        <w:bidi w:val="0"/>
        <w:ind w:left="709" w:hanging="283"/>
        <w:jc w:val="left"/>
        <w:rPr/>
      </w:pPr>
      <w:r>
        <w:rPr/>
        <w:t>“</w:t>
      </w:r>
      <w:r>
        <w:rPr/>
        <w:t>Average revenue per transaction service” refers to the average revenue generated per monetized transaction service, calculated by dividing the total revenue generated from monetized transaction services by the number of such services during a given period.</w:t>
      </w:r>
    </w:p>
    <w:p>
      <w:pPr>
        <w:pStyle w:val="TextBody"/>
        <w:bidi w:val="0"/>
        <w:spacing w:before="0" w:after="283"/>
        <w:jc w:val="left"/>
        <w:rPr/>
      </w:pPr>
      <w:r>
        <w:rPr>
          <w:rStyle w:val="StrongEmphasis"/>
        </w:rPr>
        <w:t>MANAGEMENT COMMENTS</w:t>
        <w:br/>
      </w:r>
      <w:r>
        <w:rPr/>
        <w:t xml:space="preserve">Mr. Junhong Yao, founder, director and chief executive officer of DSC, commented: “The second quarter marked an important milestone for DSC with the completion of our Nasdaq IPO in June. Our operating performance remained resilient during the quarter, with </w:t>
      </w:r>
      <w:r>
        <w:rPr>
          <w:rStyle w:val="Emphasis"/>
        </w:rPr>
        <w:t>DaFengChe</w:t>
      </w:r>
      <w:r>
        <w:rPr/>
        <w:t xml:space="preserve"> maintaining broad, in-depth dealer engagement, our revenue growing year over year, and our losses narrowing significantly.”</w:t>
      </w:r>
    </w:p>
    <w:p>
      <w:pPr>
        <w:pStyle w:val="TextBody"/>
        <w:bidi w:val="0"/>
        <w:spacing w:before="0" w:after="283"/>
        <w:jc w:val="left"/>
        <w:rPr/>
      </w:pPr>
      <w:r>
        <w:rPr/>
        <w:t>“</w:t>
      </w:r>
      <w:r>
        <w:rPr/>
        <w:t>In the second quarter, we also made meaningful progress in AI-powered products and services. We developed several AI agents by training commoditized LLMs on our massive, granular, proprietary, real-time data, and deployed them into used car dealers’ daily workflows. Our market intelligence AI agents enabled dealers to make far better-informed purchasing and selling decisions, and have delivered tangible results for some of them. These early successes demonstrate the value that AI can create when applied to a conventional industry in the real economy. While creating value for dealers, these AI applications are also presenting a number of new monetization opportunities for DSC, which we are actively exploring and expect to test through selected trials in the near term," he added.</w:t>
      </w:r>
    </w:p>
    <w:p>
      <w:pPr>
        <w:pStyle w:val="TextBody"/>
        <w:bidi w:val="0"/>
        <w:spacing w:before="0" w:after="283"/>
        <w:jc w:val="left"/>
        <w:rPr/>
      </w:pPr>
      <w:r>
        <w:rPr/>
        <w:t>“</w:t>
      </w:r>
      <w:r>
        <w:rPr/>
        <w:t>At the same time, our Nasdaq listing has placed us on the global stage just as China's used-car exports are growing tremendously. We have begun to cautiously explore how our technological capabilities could support this rapidly expanding cross-border market.”</w:t>
      </w:r>
    </w:p>
    <w:p>
      <w:pPr>
        <w:pStyle w:val="TextBody"/>
        <w:bidi w:val="0"/>
        <w:spacing w:before="0" w:after="283"/>
        <w:jc w:val="left"/>
        <w:rPr/>
      </w:pPr>
      <w:r>
        <w:rPr/>
        <w:t>Ms. Qin Zou, director and chief financial officer of DSC, added: "We are pleased with our performance in the second quarter, with revenue growing 3.7% year over year, broadly in line with our expectations based on historical trends and industry seasonality. Notably, our adjusted net loss narrowed by 61.5% to RMB7.4 million, reflecting our unwavering focus on profitability.</w:t>
      </w:r>
    </w:p>
    <w:p>
      <w:pPr>
        <w:pStyle w:val="TextBody"/>
        <w:bidi w:val="0"/>
        <w:spacing w:before="0" w:after="283"/>
        <w:jc w:val="left"/>
        <w:rPr/>
      </w:pPr>
      <w:r>
        <w:rPr/>
        <w:t>AI has been a major factor in both reducing our operating expenses and opening up new monetization fronts. In the second quarter, we ran intensive company-wide campaigns to drive rapid AI adoption and make our organization operate leaner, faster and better. We have also moved quickly to integrate AI into our dealer-facing products and services, where we are beginning to see early revenues and will continue to explore their full monetization potential. Looking ahead, we remain focused on the quality of growth, expanding monetization across our dealer-centric ecosystem, particularly opportunities created by AI applications, and continuing to improve profitability."</w:t>
      </w:r>
    </w:p>
    <w:p>
      <w:pPr>
        <w:pStyle w:val="TextBody"/>
        <w:bidi w:val="0"/>
        <w:spacing w:before="0" w:after="283"/>
        <w:jc w:val="left"/>
        <w:rPr/>
      </w:pPr>
      <w:r>
        <w:rPr>
          <w:rStyle w:val="StrongEmphasis"/>
        </w:rPr>
        <w:t>FINANCIAL RESULT DETAILS</w:t>
        <w:br/>
        <w:t>Revenue</w:t>
      </w:r>
      <w:r>
        <w:rPr/>
        <w:br/>
        <w:t>Revenue increased 3.7% year over year to RMB167.0 million (US$24.6 million) in the second quarter of 2026, primarily due to certain customer engagement solution projects for OEMs being accepted and the related revenue recognized during the quarter, partially offset by lower revenue following the discontinuation of certain OEM-facing marketing services.</w:t>
      </w:r>
    </w:p>
    <w:p>
      <w:pPr>
        <w:pStyle w:val="TextBody"/>
        <w:bidi w:val="0"/>
        <w:spacing w:before="0" w:after="283"/>
        <w:jc w:val="left"/>
        <w:rPr/>
      </w:pPr>
      <w:r>
        <w:rPr>
          <w:rStyle w:val="StrongEmphasis"/>
        </w:rPr>
        <w:t xml:space="preserve">Cost of Revenue </w:t>
      </w:r>
      <w:r>
        <w:rPr/>
        <w:br/>
        <w:t>Cost of revenue increased 15.0% to RMB108.0 million (US$15.9 million), primarily reflecting higher costs associated with the growth in customer engagement solutions.</w:t>
      </w:r>
    </w:p>
    <w:p>
      <w:pPr>
        <w:pStyle w:val="TextBody"/>
        <w:bidi w:val="0"/>
        <w:spacing w:before="0" w:after="283"/>
        <w:jc w:val="left"/>
        <w:rPr/>
      </w:pPr>
      <w:r>
        <w:rPr>
          <w:rStyle w:val="StrongEmphasis"/>
        </w:rPr>
        <w:t>Operating Expenses</w:t>
      </w:r>
      <w:r>
        <w:rPr/>
        <w:br/>
        <w:t>Total operating expenses were RMB302.5 million (US$44.6 million), compared with RMB91.8 million in the same period of 2025, primarily due to the recognition of RMB227.8 million (US$33.6 million) in share-based compensation upon the completion of the IPO in June and IPO-related expenses. Excluding share-based compensation, general and administrative, sales and marketing, and research and development expenses declined 14.0%, 14.0% and 29.2% year over year, respectively, reflecting continued cost discipline and improved operating efficiency.</w:t>
      </w:r>
    </w:p>
    <w:p>
      <w:pPr>
        <w:pStyle w:val="TextBody"/>
        <w:bidi w:val="0"/>
        <w:spacing w:before="0" w:after="283"/>
        <w:jc w:val="left"/>
        <w:rPr/>
      </w:pPr>
      <w:r>
        <w:rPr>
          <w:rStyle w:val="StrongEmphasis"/>
        </w:rPr>
        <w:t>Net Loss and Adjusted Net Loss (Non-GAAP)</w:t>
      </w:r>
      <w:r>
        <w:rPr/>
        <w:br/>
        <w:t>Net loss was RMB240.5 million (US$35.4 million), compared with RMB25.0 million in the same period of 2025, primarily due to share-based compensation and IPO-related expenses in the total amount of RMB227.8 million (US$33.6 million).</w:t>
      </w:r>
    </w:p>
    <w:p>
      <w:pPr>
        <w:pStyle w:val="TextBody"/>
        <w:bidi w:val="0"/>
        <w:spacing w:before="0" w:after="283"/>
        <w:jc w:val="left"/>
        <w:rPr/>
      </w:pPr>
      <w:r>
        <w:rPr/>
        <w:t>Adjusted net loss (non-GAAP) narrowed 61.5% to RMB7.4 million (US$1.1 million), reflecting continued improvement in operating efficiency.</w:t>
      </w:r>
    </w:p>
    <w:p>
      <w:pPr>
        <w:pStyle w:val="TextBody"/>
        <w:bidi w:val="0"/>
        <w:spacing w:before="0" w:after="283"/>
        <w:jc w:val="left"/>
        <w:rPr/>
      </w:pPr>
      <w:r>
        <w:rPr>
          <w:rStyle w:val="StrongEmphasis"/>
        </w:rPr>
        <w:t>Balance Sheet and Liquidity</w:t>
      </w:r>
      <w:r>
        <w:rPr/>
        <w:br/>
        <w:t>Liquidity strengthened following the Company’s IPO in June 2026, with cash and cash equivalents reaching RMB451.3 million (US$66.5 million) as of June 30, 2026.</w:t>
      </w:r>
    </w:p>
    <w:p>
      <w:pPr>
        <w:pStyle w:val="TextBody"/>
        <w:bidi w:val="0"/>
        <w:spacing w:before="0" w:after="283"/>
        <w:jc w:val="left"/>
        <w:rPr/>
      </w:pPr>
      <w:r>
        <w:rPr>
          <w:rStyle w:val="StrongEmphasis"/>
        </w:rPr>
        <w:t>CONFERENCE CALL INFORMATION</w:t>
        <w:br/>
      </w:r>
      <w:r>
        <w:rPr/>
        <w:t>The Company’s management will host two separate live video webcasts to discuss the financial results and recent business developments, with one session conducted in Chinese and the other in English. The Chinese- and English-language sessions will cover the same prepared content. To join the webcasts, participants must use the respective links below to complete an online registration process. Participants may join the session conducted in their preferred language.</w:t>
      </w:r>
    </w:p>
    <w:p>
      <w:pPr>
        <w:pStyle w:val="TextBody"/>
        <w:bidi w:val="0"/>
        <w:spacing w:before="0" w:after="283"/>
        <w:jc w:val="left"/>
        <w:rPr/>
      </w:pPr>
      <w:r>
        <w:rPr/>
        <w:t>Details of the live video webcasts are as follows:</w:t>
        <w:br/>
      </w:r>
      <w:r>
        <w:rPr>
          <w:rStyle w:val="StrongEmphasis"/>
        </w:rPr>
        <w:t>Chinese Session</w:t>
      </w:r>
      <w:r>
        <w:rPr/>
        <w:br/>
      </w:r>
      <w:r>
        <w:rPr>
          <w:rStyle w:val="StrongEmphasis"/>
        </w:rPr>
        <w:t xml:space="preserve">Date: </w:t>
      </w:r>
      <w:r>
        <w:rPr/>
        <w:t>August 26, 2026</w:t>
        <w:br/>
      </w:r>
      <w:r>
        <w:rPr>
          <w:rStyle w:val="StrongEmphasis"/>
        </w:rPr>
        <w:t>Time: </w:t>
      </w:r>
      <w:r>
        <w:rPr/>
        <w:t xml:space="preserve">5:00 A.M. Eastern Time (5:00 P.M. Beijing/Hong Kong Time on the same day) </w:t>
        <w:br/>
      </w:r>
      <w:r>
        <w:rPr>
          <w:rStyle w:val="StrongEmphasis"/>
        </w:rPr>
        <w:t xml:space="preserve">Webcast link: </w:t>
      </w:r>
      <w:r>
        <w:rPr/>
        <w:t>https://us06web.zoom.us/webinar/register/WN_1ZVTr026QCWpjDgPQcYZyw</w:t>
      </w:r>
    </w:p>
    <w:p>
      <w:pPr>
        <w:pStyle w:val="TextBody"/>
        <w:bidi w:val="0"/>
        <w:spacing w:before="0" w:after="283"/>
        <w:jc w:val="left"/>
        <w:rPr/>
      </w:pPr>
      <w:r>
        <w:rPr>
          <w:rStyle w:val="StrongEmphasis"/>
        </w:rPr>
        <w:t>English Session</w:t>
      </w:r>
      <w:r>
        <w:rPr/>
        <w:br/>
      </w:r>
      <w:r>
        <w:rPr>
          <w:rStyle w:val="StrongEmphasis"/>
        </w:rPr>
        <w:t xml:space="preserve">Date: </w:t>
      </w:r>
      <w:r>
        <w:rPr/>
        <w:t>August 26, 2026</w:t>
        <w:br/>
      </w:r>
      <w:r>
        <w:rPr>
          <w:rStyle w:val="StrongEmphasis"/>
        </w:rPr>
        <w:t>Time: </w:t>
      </w:r>
      <w:r>
        <w:rPr/>
        <w:t xml:space="preserve">8:00 A.M. Eastern Time (8:00 P.M. Beijing/Hong Kong Time on the same day) </w:t>
        <w:br/>
      </w:r>
      <w:r>
        <w:rPr>
          <w:rStyle w:val="StrongEmphasis"/>
        </w:rPr>
        <w:t xml:space="preserve">Webcast link: </w:t>
      </w:r>
      <w:r>
        <w:rPr/>
        <w:t>https://us06web.zoom.us/webinar/register/WN_3w3A0GPFR0mrwkOWeHayGQ</w:t>
      </w:r>
    </w:p>
    <w:p>
      <w:pPr>
        <w:pStyle w:val="TextBody"/>
        <w:bidi w:val="0"/>
        <w:spacing w:before="0" w:after="283"/>
        <w:jc w:val="left"/>
        <w:rPr/>
      </w:pPr>
      <w:r>
        <w:rPr/>
        <w:t>The earnings release and related materials, including live and archived webcasts of both sessions, will be available on the Company's investor relations website at https://ir.dasouche.com.</w:t>
      </w:r>
    </w:p>
    <w:p>
      <w:pPr>
        <w:pStyle w:val="TextBody"/>
        <w:bidi w:val="0"/>
        <w:spacing w:before="0" w:after="283"/>
        <w:jc w:val="left"/>
        <w:rPr/>
      </w:pPr>
      <w:r>
        <w:rPr>
          <w:rStyle w:val="StrongEmphasis"/>
        </w:rPr>
        <w:t>ABOUT DSC</w:t>
      </w:r>
      <w:r>
        <w:rPr/>
        <w:br/>
        <w:t>DSC is the AI application infrastructure for China’s used car industry. The Company has held over 90% market share in operating system for China’s used car dealers since 2021, according to China Insights Consultancy, giving it nation-wide dealer connection and massive, granular, proprietary, real-time industry data. Building on this digital foundation, DSC further supports used car dealers with essential transaction services across their workflows. DSC’s services also engage and benefit thousands of dealers’ collaborators, such as inspectors, transporters and other internet platforms, creating an ecosystem with used car dealers at its center.</w:t>
      </w:r>
    </w:p>
    <w:p>
      <w:pPr>
        <w:pStyle w:val="TextBody"/>
        <w:bidi w:val="0"/>
        <w:spacing w:before="0" w:after="283"/>
        <w:jc w:val="left"/>
        <w:rPr/>
      </w:pPr>
      <w:r>
        <w:rPr>
          <w:rStyle w:val="StrongEmphasis"/>
        </w:rPr>
        <w:t>SAFE HARBOR STATEMENT</w:t>
      </w:r>
      <w:r>
        <w:rPr/>
        <w:br/>
        <w:t>This announcement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announcement is as of the date of this announcement, and the Company does not undertake any duty to update such information, except as required under applicable law.</w:t>
      </w:r>
    </w:p>
    <w:p>
      <w:pPr>
        <w:pStyle w:val="TextBody"/>
        <w:bidi w:val="0"/>
        <w:spacing w:before="0" w:after="283"/>
        <w:jc w:val="left"/>
        <w:rPr/>
      </w:pPr>
      <w:r>
        <w:rPr>
          <w:rStyle w:val="StrongEmphasis"/>
        </w:rPr>
        <w:t>USE OF NON-GAAP FINANCIAL MEASURES</w:t>
      </w:r>
      <w:r>
        <w:rPr/>
        <w:br/>
        <w:t>The Company uses adjusted loss, which is a non-GAAP financial measure, in evaluating its operating results and for financial and operational decision-making purposes. The Company believes that adjusted loss for the year provides useful information about its results of operations and enhances the overall understanding of its past performance and future prospects.</w:t>
      </w:r>
    </w:p>
    <w:p>
      <w:pPr>
        <w:pStyle w:val="TextBody"/>
        <w:bidi w:val="0"/>
        <w:spacing w:before="0" w:after="283"/>
        <w:jc w:val="left"/>
        <w:rPr/>
      </w:pPr>
      <w:r>
        <w:rPr/>
        <w:t>The Company defines non-GAAP financial measure by excluding the impact of share-based compensation expenses and amortization of intangible assets resulting from business combinations from the respective GAAP financial measure.</w:t>
      </w:r>
    </w:p>
    <w:p>
      <w:pPr>
        <w:pStyle w:val="TextBody"/>
        <w:bidi w:val="0"/>
        <w:spacing w:before="0" w:after="283"/>
        <w:jc w:val="left"/>
        <w:rPr/>
      </w:pPr>
      <w:r>
        <w:rPr/>
        <w:t>Adjusted loss should not be considered in isolation or construed as an alternative to loss from operations, net loss or any other measure of performance or as an indicator of the Company’s operating performance. Investors are encouraged to review adjusted loss for the year and the reconciliation to its most directly comparable U.S. GAAP measure. Other companies may calculate similarly titled measures differently, limiting their usefulness as comparative measures to the Company's data. The Company encourages investors and others to review its financial information in its entirety and not rely on a single financial measure.</w:t>
      </w:r>
    </w:p>
    <w:p>
      <w:pPr>
        <w:pStyle w:val="TextBody"/>
        <w:bidi w:val="0"/>
        <w:spacing w:before="0" w:after="283"/>
        <w:jc w:val="left"/>
        <w:rPr/>
      </w:pPr>
      <w:r>
        <w:rPr/>
        <w:t>Reconciliations of the Company’s non-GAAP financial measure to its most comparable U.S. GAAP measure are included at the end of this press release.</w:t>
      </w:r>
    </w:p>
    <w:p>
      <w:pPr>
        <w:pStyle w:val="TextBody"/>
        <w:bidi w:val="0"/>
        <w:spacing w:before="0" w:after="283"/>
        <w:jc w:val="left"/>
        <w:rPr/>
      </w:pPr>
      <w:r>
        <w:rPr>
          <w:rStyle w:val="StrongEmphasis"/>
        </w:rPr>
        <w:t>EXCHANGE RATE</w:t>
      </w:r>
      <w:r>
        <w:rPr/>
        <w:br/>
        <w:t>This press release contains translations of certain RMB amounts into U.S. dollars (“USD”) at specified rates solely for the convenience of the reader. Unless otherwise stated, all translations from RMB to USD were made at the noon buying rates of RMB6.7851 to US$1.00 in effect on June 30, 2026, as set forth in the H.10 statistical release of the Federal Reserve Board. The Company makes no representation that the RMB or USD amounts referred to in this press release could have been converted into USD or RMB, as the case may be, at any particular rate or at all.</w:t>
      </w:r>
    </w:p>
    <w:p>
      <w:pPr>
        <w:pStyle w:val="TextBody"/>
        <w:bidi w:val="0"/>
        <w:spacing w:before="0" w:after="283"/>
        <w:jc w:val="left"/>
        <w:rPr/>
      </w:pPr>
      <w:r>
        <w:rPr>
          <w:rStyle w:val="StrongEmphasis"/>
        </w:rPr>
        <w:t>INVESTOR RELATIONS CONTACT</w:t>
      </w:r>
    </w:p>
    <w:p>
      <w:pPr>
        <w:pStyle w:val="TextBody"/>
        <w:bidi w:val="0"/>
        <w:spacing w:before="0" w:after="283"/>
        <w:jc w:val="left"/>
        <w:rPr/>
      </w:pPr>
      <w:r>
        <w:rPr/>
        <w:t>DSC IR Department</w:t>
        <w:br/>
        <w:t>Email: ir@souche.com</w:t>
      </w:r>
    </w:p>
    <w:p>
      <w:pPr>
        <w:pStyle w:val="TextBody"/>
        <w:bidi w:val="0"/>
        <w:spacing w:before="0" w:after="283"/>
        <w:jc w:val="left"/>
        <w:rPr/>
      </w:pPr>
      <w:r>
        <w:rPr/>
        <w:t>The Blueshirt Group</w:t>
        <w:br/>
        <w:t>Ms. Feifei Shen</w:t>
        <w:br/>
        <w:t>Email: dsc@blueshirtgroup.co</w:t>
      </w:r>
    </w:p>
    <w:tbl>
      <w:tblPr>
        <w:tblW w:w="10205" w:type="dxa"/>
        <w:jc w:val="left"/>
        <w:tblInd w:w="0" w:type="dxa"/>
        <w:tblLayout w:type="fixed"/>
        <w:tblCellMar>
          <w:top w:w="0" w:type="dxa"/>
          <w:left w:w="0" w:type="dxa"/>
          <w:bottom w:w="0" w:type="dxa"/>
          <w:right w:w="0" w:type="dxa"/>
        </w:tblCellMar>
      </w:tblPr>
      <w:tblGrid>
        <w:gridCol w:w="6092"/>
        <w:gridCol w:w="60"/>
        <w:gridCol w:w="79"/>
        <w:gridCol w:w="1307"/>
        <w:gridCol w:w="79"/>
        <w:gridCol w:w="60"/>
        <w:gridCol w:w="66"/>
        <w:gridCol w:w="1090"/>
        <w:gridCol w:w="67"/>
        <w:gridCol w:w="60"/>
        <w:gridCol w:w="78"/>
        <w:gridCol w:w="1061"/>
        <w:gridCol w:w="106"/>
      </w:tblGrid>
      <w:tr>
        <w:trPr/>
        <w:tc>
          <w:tcPr>
            <w:tcW w:w="10205" w:type="dxa"/>
            <w:gridSpan w:val="13"/>
            <w:tcBorders/>
            <w:vAlign w:val="center"/>
          </w:tcPr>
          <w:p>
            <w:pPr>
              <w:pStyle w:val="TableContents"/>
              <w:bidi w:val="0"/>
              <w:jc w:val="center"/>
              <w:rPr>
                <w:b/>
              </w:rPr>
            </w:pPr>
            <w:r>
              <w:rPr>
                <w:b/>
              </w:rPr>
              <w:t>DSC HOLDINGS LTD.</w:t>
              <w:br/>
              <w:t>UNAUDITED CONDENSED CONSOLIDATED BALANCE SHEETS</w:t>
              <w:br/>
              <w:t>(Amounts in thousands of Renminbi (“RMB”) and US dollar (“US$”),</w:t>
              <w:br/>
              <w:t>except for share and per share data, unless otherwise noted)</w:t>
            </w:r>
          </w:p>
          <w:p>
            <w:pPr>
              <w:pStyle w:val="TableContents"/>
              <w:bidi w:val="0"/>
              <w:spacing w:before="0" w:after="283"/>
              <w:jc w:val="center"/>
              <w:rPr/>
            </w:pPr>
            <w:r>
              <w:rPr/>
              <w:t> </w:t>
            </w:r>
          </w:p>
        </w:tc>
      </w:tr>
      <w:tr>
        <w:trPr/>
        <w:tc>
          <w:tcPr>
            <w:tcW w:w="60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5" w:type="dxa"/>
            <w:gridSpan w:val="3"/>
            <w:tcBorders/>
            <w:vAlign w:val="center"/>
          </w:tcPr>
          <w:p>
            <w:pPr>
              <w:pStyle w:val="TableContents"/>
              <w:bidi w:val="0"/>
              <w:spacing w:before="0" w:after="283"/>
              <w:jc w:val="center"/>
              <w:rPr>
                <w:b/>
              </w:rPr>
            </w:pPr>
            <w:r>
              <w:rPr>
                <w:b/>
              </w:rPr>
              <w:t>As of</w:t>
            </w:r>
          </w:p>
        </w:tc>
        <w:tc>
          <w:tcPr>
            <w:tcW w:w="60" w:type="dxa"/>
            <w:tcBorders/>
            <w:vAlign w:val="center"/>
          </w:tcPr>
          <w:p>
            <w:pPr>
              <w:pStyle w:val="TableContents"/>
              <w:bidi w:val="0"/>
              <w:spacing w:before="0" w:after="283"/>
              <w:jc w:val="center"/>
              <w:rPr/>
            </w:pPr>
            <w:r>
              <w:rPr/>
              <w:t> </w:t>
            </w:r>
          </w:p>
        </w:tc>
        <w:tc>
          <w:tcPr>
            <w:tcW w:w="2528" w:type="dxa"/>
            <w:gridSpan w:val="7"/>
            <w:tcBorders/>
            <w:vAlign w:val="center"/>
          </w:tcPr>
          <w:p>
            <w:pPr>
              <w:pStyle w:val="TableContents"/>
              <w:bidi w:val="0"/>
              <w:spacing w:before="0" w:after="283"/>
              <w:jc w:val="center"/>
              <w:rPr>
                <w:b/>
              </w:rPr>
            </w:pPr>
            <w:r>
              <w:rPr>
                <w:b/>
              </w:rPr>
              <w:t>As of</w:t>
            </w:r>
          </w:p>
        </w:tc>
      </w:tr>
      <w:tr>
        <w:trPr/>
        <w:tc>
          <w:tcPr>
            <w:tcW w:w="60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3"/>
            <w:tcBorders>
              <w:bottom w:val="single" w:sz="8" w:space="0" w:color="000000"/>
            </w:tcBorders>
            <w:tcMar>
              <w:bottom w:w="28" w:type="dxa"/>
            </w:tcMar>
            <w:vAlign w:val="center"/>
          </w:tcPr>
          <w:p>
            <w:pPr>
              <w:pStyle w:val="TableContents"/>
              <w:bidi w:val="0"/>
              <w:spacing w:before="0" w:after="0"/>
              <w:ind w:left="0" w:right="0" w:hanging="0"/>
              <w:jc w:val="center"/>
              <w:rPr>
                <w:b/>
                <w:sz w:val="20"/>
              </w:rPr>
            </w:pPr>
            <w:r>
              <w:rPr>
                <w:b/>
                <w:sz w:val="20"/>
              </w:rPr>
              <w:t>December 31, 2025</w:t>
            </w:r>
          </w:p>
        </w:tc>
        <w:tc>
          <w:tcPr>
            <w:tcW w:w="60" w:type="dxa"/>
            <w:tcBorders/>
            <w:vAlign w:val="center"/>
          </w:tcPr>
          <w:p>
            <w:pPr>
              <w:pStyle w:val="TableContents"/>
              <w:bidi w:val="0"/>
              <w:spacing w:before="0" w:after="283"/>
              <w:jc w:val="left"/>
              <w:rPr/>
            </w:pPr>
            <w:r>
              <w:rPr/>
              <w:t> </w:t>
            </w:r>
          </w:p>
        </w:tc>
        <w:tc>
          <w:tcPr>
            <w:tcW w:w="2528" w:type="dxa"/>
            <w:gridSpan w:val="7"/>
            <w:tcBorders>
              <w:bottom w:val="single" w:sz="8" w:space="0" w:color="000000"/>
            </w:tcBorders>
            <w:tcMar>
              <w:bottom w:w="28" w:type="dxa"/>
            </w:tcMar>
            <w:vAlign w:val="center"/>
          </w:tcPr>
          <w:p>
            <w:pPr>
              <w:pStyle w:val="TableContents"/>
              <w:bidi w:val="0"/>
              <w:spacing w:before="0" w:after="0"/>
              <w:ind w:left="0" w:right="0" w:hanging="0"/>
              <w:jc w:val="center"/>
              <w:rPr>
                <w:b/>
                <w:sz w:val="20"/>
              </w:rPr>
            </w:pPr>
            <w:r>
              <w:rPr>
                <w:b/>
                <w:sz w:val="20"/>
              </w:rPr>
              <w:t>June 30, 2026</w:t>
            </w:r>
          </w:p>
        </w:tc>
      </w:tr>
      <w:tr>
        <w:trPr/>
        <w:tc>
          <w:tcPr>
            <w:tcW w:w="60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3"/>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23" w:type="dxa"/>
            <w:gridSpan w:val="3"/>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45" w:type="dxa"/>
            <w:gridSpan w:val="3"/>
            <w:tcBorders/>
            <w:vAlign w:val="center"/>
          </w:tcPr>
          <w:p>
            <w:pPr>
              <w:pStyle w:val="TableContents"/>
              <w:bidi w:val="0"/>
              <w:spacing w:before="0" w:after="283"/>
              <w:jc w:val="center"/>
              <w:rPr>
                <w:b/>
              </w:rPr>
            </w:pPr>
            <w:r>
              <w:rPr>
                <w:b/>
              </w:rPr>
              <w:t>RMB</w:t>
            </w:r>
          </w:p>
        </w:tc>
      </w:tr>
      <w:tr>
        <w:trPr/>
        <w:tc>
          <w:tcPr>
            <w:tcW w:w="60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23" w:type="dxa"/>
            <w:gridSpan w:val="3"/>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45" w:type="dxa"/>
            <w:gridSpan w:val="3"/>
            <w:tcBorders/>
            <w:vAlign w:val="center"/>
          </w:tcPr>
          <w:p>
            <w:pPr>
              <w:pStyle w:val="TableContents"/>
              <w:bidi w:val="0"/>
              <w:spacing w:before="0" w:after="283"/>
              <w:jc w:val="center"/>
              <w:rPr>
                <w:b/>
              </w:rPr>
            </w:pPr>
            <w:r>
              <w:rPr>
                <w:b/>
              </w:rPr>
              <w:t>(Unaudited)</w:t>
            </w:r>
          </w:p>
        </w:tc>
      </w:tr>
      <w:tr>
        <w:trPr/>
        <w:tc>
          <w:tcPr>
            <w:tcW w:w="6092"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6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23"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5" w:type="dxa"/>
            <w:gridSpan w:val="3"/>
            <w:tcBorders/>
            <w:vAlign w:val="center"/>
          </w:tcPr>
          <w:p>
            <w:pPr>
              <w:pStyle w:val="TableContents"/>
              <w:bidi w:val="0"/>
              <w:spacing w:before="0" w:after="283"/>
              <w:jc w:val="right"/>
              <w:rPr/>
            </w:pPr>
            <w:r>
              <w:rPr/>
              <w:t> </w:t>
            </w:r>
          </w:p>
        </w:tc>
      </w:tr>
      <w:tr>
        <w:trPr/>
        <w:tc>
          <w:tcPr>
            <w:tcW w:w="6092"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178,862</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451,285</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66,511</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1,147</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1,147</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169</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31,730</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79,406</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11,703</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60,753</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49,431</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7,285</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Amounts due from related parties, current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84,626</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141,556</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20,863</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Contract assets, net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90,337</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95,928</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14,138</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Prepayments and other current assets, net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154,566</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130,231</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19,194</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602,021</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948,984</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139,863</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Fixed assets, net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3,571</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2,772</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409</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Long-term investments, net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7,572</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7,315</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1,078</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64,408</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69,050</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10,177</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13,395</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7,579</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1,117</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596,858</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596,858</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87,966</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Amounts due from related parties, non-current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132,716</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97,705</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14,400</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Other non-current assets, net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14,865</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15,168</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2,235</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833,385</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796,447</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117,382</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1,435,406</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1,745,431</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257,245</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b/>
              </w:rPr>
            </w:pPr>
            <w:r>
              <w:rPr>
                <w:b/>
              </w:rPr>
              <w:t>LIABILITIES, MEZZANINE EQUITY AND SHAREHOLDERS' EQUITY</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Short-term loans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121,274</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217,356</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32,034</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60,800</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61,580</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9,076</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Contract liabilities and customer advance</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51,170</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53,455</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7,878</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Amounts due to related parties, current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2,004</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233</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34</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4,823</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3,270</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482</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187,967</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170,263</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pPr>
            <w:r>
              <w:rPr/>
              <w:t>25,095</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428,038</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506,157</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74,599</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Amounts due to related parties, non-current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282,998</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263,694</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38,864</w:t>
            </w:r>
          </w:p>
        </w:tc>
        <w:tc>
          <w:tcPr>
            <w:tcW w:w="106" w:type="dxa"/>
            <w:tcBorders/>
            <w:shd w:fill="CCEEFF" w:val="cle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pPr>
            <w:r>
              <w:rPr/>
              <w:t>Operating lease liabilities, non current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8,616</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4,305</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634</w:t>
            </w:r>
          </w:p>
        </w:tc>
        <w:tc>
          <w:tcPr>
            <w:tcW w:w="106" w:type="dxa"/>
            <w:tcBorders/>
            <w:shd w:fill="FFFFFF" w:val="cle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8,350</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8,714</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pPr>
            <w:r>
              <w:rPr/>
              <w:t>1,284</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6092"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299,964</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276,713</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40,782</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6092"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728,002</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782,870</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115,381</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center"/>
        <w:rPr/>
      </w:pPr>
      <w:r>
        <w:rPr/>
      </w:r>
    </w:p>
    <w:tbl>
      <w:tblPr>
        <w:tblW w:w="10205" w:type="dxa"/>
        <w:jc w:val="left"/>
        <w:tblInd w:w="0" w:type="dxa"/>
        <w:tblLayout w:type="fixed"/>
        <w:tblCellMar>
          <w:top w:w="0" w:type="dxa"/>
          <w:left w:w="0" w:type="dxa"/>
          <w:bottom w:w="0" w:type="dxa"/>
          <w:right w:w="0" w:type="dxa"/>
        </w:tblCellMar>
      </w:tblPr>
      <w:tblGrid>
        <w:gridCol w:w="5780"/>
        <w:gridCol w:w="60"/>
        <w:gridCol w:w="75"/>
        <w:gridCol w:w="1474"/>
        <w:gridCol w:w="118"/>
        <w:gridCol w:w="60"/>
        <w:gridCol w:w="60"/>
        <w:gridCol w:w="1175"/>
        <w:gridCol w:w="95"/>
        <w:gridCol w:w="60"/>
        <w:gridCol w:w="60"/>
        <w:gridCol w:w="1073"/>
        <w:gridCol w:w="115"/>
      </w:tblGrid>
      <w:tr>
        <w:trPr/>
        <w:tc>
          <w:tcPr>
            <w:tcW w:w="10205" w:type="dxa"/>
            <w:gridSpan w:val="13"/>
            <w:tcBorders/>
            <w:vAlign w:val="center"/>
          </w:tcPr>
          <w:p>
            <w:pPr>
              <w:pStyle w:val="TableContents"/>
              <w:bidi w:val="0"/>
              <w:jc w:val="center"/>
              <w:rPr>
                <w:b/>
              </w:rPr>
            </w:pPr>
            <w:r>
              <w:rPr>
                <w:b/>
              </w:rPr>
              <w:t>DSC HOLDINGS LTD.</w:t>
              <w:br/>
              <w:t>UNAUDITED CONDENSED CONSOLIDATED BALANCE SHEETS (CONTINUED)</w:t>
              <w:br/>
              <w:t>(Amounts in thousands of Renminbi (“RMB”) and US dollar (“US$”),</w:t>
              <w:br/>
              <w:t>except for share and per share data, unless otherwise noted)</w:t>
            </w:r>
          </w:p>
          <w:p>
            <w:pPr>
              <w:pStyle w:val="TableContents"/>
              <w:bidi w:val="0"/>
              <w:spacing w:before="0" w:after="283"/>
              <w:jc w:val="center"/>
              <w:rPr/>
            </w:pPr>
            <w:r>
              <w:rPr/>
              <w:t> </w:t>
            </w:r>
          </w:p>
        </w:tc>
      </w:tr>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7" w:type="dxa"/>
            <w:gridSpan w:val="3"/>
            <w:tcBorders/>
            <w:vAlign w:val="center"/>
          </w:tcPr>
          <w:p>
            <w:pPr>
              <w:pStyle w:val="TableContents"/>
              <w:bidi w:val="0"/>
              <w:spacing w:before="0" w:after="283"/>
              <w:jc w:val="center"/>
              <w:rPr>
                <w:b/>
              </w:rPr>
            </w:pPr>
            <w:r>
              <w:rPr>
                <w:b/>
              </w:rPr>
              <w:t>As of</w:t>
            </w:r>
          </w:p>
        </w:tc>
        <w:tc>
          <w:tcPr>
            <w:tcW w:w="60" w:type="dxa"/>
            <w:tcBorders/>
            <w:vAlign w:val="center"/>
          </w:tcPr>
          <w:p>
            <w:pPr>
              <w:pStyle w:val="TableContents"/>
              <w:bidi w:val="0"/>
              <w:spacing w:before="0" w:after="283"/>
              <w:jc w:val="left"/>
              <w:rPr/>
            </w:pPr>
            <w:r>
              <w:rPr/>
              <w:t> </w:t>
            </w:r>
          </w:p>
        </w:tc>
        <w:tc>
          <w:tcPr>
            <w:tcW w:w="2638" w:type="dxa"/>
            <w:gridSpan w:val="7"/>
            <w:tcBorders/>
            <w:vAlign w:val="center"/>
          </w:tcPr>
          <w:p>
            <w:pPr>
              <w:pStyle w:val="TableContents"/>
              <w:bidi w:val="0"/>
              <w:spacing w:before="0" w:after="283"/>
              <w:jc w:val="center"/>
              <w:rPr>
                <w:b/>
              </w:rPr>
            </w:pPr>
            <w:r>
              <w:rPr>
                <w:b/>
              </w:rPr>
              <w:t>As of</w:t>
            </w:r>
          </w:p>
        </w:tc>
      </w:tr>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2638" w:type="dxa"/>
            <w:gridSpan w:val="7"/>
            <w:tcBorders>
              <w:bottom w:val="single" w:sz="8" w:space="0" w:color="000000"/>
            </w:tcBorders>
            <w:tcMar>
              <w:bottom w:w="28" w:type="dxa"/>
            </w:tcMar>
            <w:vAlign w:val="center"/>
          </w:tcPr>
          <w:p>
            <w:pPr>
              <w:pStyle w:val="TableContents"/>
              <w:bidi w:val="0"/>
              <w:spacing w:before="0" w:after="283"/>
              <w:jc w:val="center"/>
              <w:rPr>
                <w:b/>
              </w:rPr>
            </w:pPr>
            <w:r>
              <w:rPr>
                <w:b/>
              </w:rPr>
              <w:t>June 30,2026</w:t>
            </w:r>
          </w:p>
        </w:tc>
      </w:tr>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7" w:type="dxa"/>
            <w:gridSpan w:val="3"/>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330" w:type="dxa"/>
            <w:gridSpan w:val="3"/>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center"/>
              <w:rPr>
                <w:b/>
              </w:rPr>
            </w:pPr>
            <w:r>
              <w:rPr>
                <w:b/>
              </w:rPr>
              <w:t>US$</w:t>
            </w:r>
          </w:p>
        </w:tc>
      </w:tr>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7"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30" w:type="dxa"/>
            <w:gridSpan w:val="3"/>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center"/>
              <w:rPr>
                <w:b/>
              </w:rPr>
            </w:pPr>
            <w:r>
              <w:rPr>
                <w:b/>
              </w:rPr>
              <w:t>(Unaudited)</w:t>
            </w:r>
          </w:p>
        </w:tc>
      </w:tr>
      <w:tr>
        <w:trPr/>
        <w:tc>
          <w:tcPr>
            <w:tcW w:w="5780" w:type="dxa"/>
            <w:tcBorders/>
            <w:shd w:fill="CCEEFF" w:val="clear"/>
            <w:vAlign w:val="center"/>
          </w:tcPr>
          <w:p>
            <w:pPr>
              <w:pStyle w:val="TableContents"/>
              <w:bidi w:val="0"/>
              <w:spacing w:before="0" w:after="283"/>
              <w:jc w:val="left"/>
              <w:rPr>
                <w:b/>
              </w:rPr>
            </w:pPr>
            <w:r>
              <w:rPr>
                <w:b/>
              </w:rPr>
              <w:t>Mezzanine equity</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Preferred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16,538,315</w:t>
            </w:r>
          </w:p>
        </w:tc>
        <w:tc>
          <w:tcPr>
            <w:tcW w:w="1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Ordinary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right"/>
              <w:rPr/>
            </w:pPr>
            <w:r>
              <w:rPr/>
              <w:t>123</w:t>
            </w:r>
          </w:p>
        </w:tc>
        <w:tc>
          <w:tcPr>
            <w:tcW w:w="1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105</w:t>
            </w:r>
          </w:p>
        </w:tc>
        <w:tc>
          <w:tcPr>
            <w:tcW w:w="115"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18,032,457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2,657,655</w:t>
            </w:r>
          </w:p>
        </w:tc>
        <w:tc>
          <w:tcPr>
            <w:tcW w:w="115"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right"/>
              <w:rPr/>
            </w:pPr>
            <w:r>
              <w:rPr/>
              <w:t>(15,828,914</w:t>
            </w:r>
          </w:p>
        </w:tc>
        <w:tc>
          <w:tcPr>
            <w:tcW w:w="11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(17,066,168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(2,515,242</w:t>
            </w:r>
          </w:p>
        </w:tc>
        <w:tc>
          <w:tcPr>
            <w:tcW w:w="115" w:type="dxa"/>
            <w:tcBorders/>
            <w:shd w:fill="CCEEFF" w:val="clear"/>
            <w:vAlign w:val="center"/>
          </w:tcPr>
          <w:p>
            <w:pPr>
              <w:pStyle w:val="TableContents"/>
              <w:bidi w:val="0"/>
              <w:spacing w:before="0" w:after="283"/>
              <w:jc w:val="left"/>
              <w:rPr/>
            </w:pPr>
            <w:r>
              <w:rPr/>
              <w:t>)</w:t>
            </w:r>
          </w:p>
        </w:tc>
      </w:tr>
      <w:tr>
        <w:trPr/>
        <w:tc>
          <w:tcPr>
            <w:tcW w:w="5780"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4" w:type="dxa"/>
            <w:tcBorders>
              <w:bottom w:val="single" w:sz="8" w:space="0" w:color="000000"/>
            </w:tcBorders>
            <w:shd w:fill="FFFFFF" w:val="clear"/>
            <w:tcMar>
              <w:bottom w:w="28" w:type="dxa"/>
            </w:tcMar>
            <w:vAlign w:val="center"/>
          </w:tcPr>
          <w:p>
            <w:pPr>
              <w:pStyle w:val="TableContents"/>
              <w:bidi w:val="0"/>
              <w:spacing w:before="0" w:after="283"/>
              <w:jc w:val="right"/>
              <w:rPr/>
            </w:pPr>
            <w:r>
              <w:rPr/>
              <w:t>(2,209</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(4,500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(663</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5780" w:type="dxa"/>
            <w:tcBorders/>
            <w:shd w:fill="CCEEFF" w:val="clear"/>
            <w:vAlign w:val="center"/>
          </w:tcPr>
          <w:p>
            <w:pPr>
              <w:pStyle w:val="TableContents"/>
              <w:bidi w:val="0"/>
              <w:spacing w:before="0" w:after="283"/>
              <w:jc w:val="left"/>
              <w:rPr>
                <w:b/>
              </w:rPr>
            </w:pPr>
            <w:r>
              <w:rPr>
                <w:b/>
              </w:rPr>
              <w:t>Total DSC Holdings Ltd. shareholders’ (deficit)/equity</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right"/>
              <w:rPr>
                <w:b/>
              </w:rPr>
            </w:pPr>
            <w:r>
              <w:rPr>
                <w:b/>
              </w:rPr>
              <w:t>(15,831,000</w:t>
            </w:r>
          </w:p>
        </w:tc>
        <w:tc>
          <w:tcPr>
            <w:tcW w:w="118"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962,501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b/>
              </w:rPr>
            </w:pPr>
            <w:r>
              <w:rPr>
                <w:b/>
              </w:rPr>
              <w:t>141,855</w:t>
            </w:r>
          </w:p>
        </w:tc>
        <w:tc>
          <w:tcPr>
            <w:tcW w:w="115"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4" w:type="dxa"/>
            <w:tcBorders>
              <w:bottom w:val="single" w:sz="8" w:space="0" w:color="000000"/>
            </w:tcBorders>
            <w:shd w:fill="FFFFFF" w:val="clear"/>
            <w:tcMar>
              <w:bottom w:w="28" w:type="dxa"/>
            </w:tcMar>
            <w:vAlign w:val="center"/>
          </w:tcPr>
          <w:p>
            <w:pPr>
              <w:pStyle w:val="TableContents"/>
              <w:bidi w:val="0"/>
              <w:spacing w:before="0" w:after="283"/>
              <w:jc w:val="right"/>
              <w:rPr/>
            </w:pPr>
            <w:r>
              <w:rPr/>
              <w:t>89</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b/>
              </w:rPr>
            </w:pPr>
            <w:r>
              <w:rPr>
                <w:b/>
              </w:rPr>
              <w:t>Total shareholders' (deficit)/equity</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(15,830,911</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962,561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141,864</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b/>
              </w:rPr>
            </w:pPr>
            <w:r>
              <w:rPr>
                <w:b/>
              </w:rPr>
              <w:t>TOTAL LIABILITIES, MEZZANINE EQUITY AND SHAREHOLDERS' EQUITY</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1,435,406</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1,745,431</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257,245</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jc w:val="center"/>
        <w:rPr/>
      </w:pPr>
      <w:r>
        <w:rPr/>
      </w:r>
    </w:p>
    <w:p>
      <w:pPr>
        <w:pStyle w:val="TextBody"/>
        <w:bidi w:val="0"/>
        <w:jc w:val="center"/>
        <w:rPr/>
      </w:pPr>
      <w:r>
        <w:rPr/>
        <w:t> </w:t>
      </w:r>
    </w:p>
    <w:tbl>
      <w:tblPr>
        <w:tblW w:w="10760" w:type="dxa"/>
        <w:jc w:val="left"/>
        <w:tblInd w:w="0" w:type="dxa"/>
        <w:tblLayout w:type="fixed"/>
        <w:tblCellMar>
          <w:top w:w="0" w:type="dxa"/>
          <w:left w:w="0" w:type="dxa"/>
          <w:bottom w:w="0" w:type="dxa"/>
          <w:right w:w="0" w:type="dxa"/>
        </w:tblCellMar>
      </w:tblPr>
      <w:tblGrid>
        <w:gridCol w:w="1415"/>
        <w:gridCol w:w="60"/>
        <w:gridCol w:w="60"/>
        <w:gridCol w:w="1220"/>
        <w:gridCol w:w="95"/>
        <w:gridCol w:w="60"/>
        <w:gridCol w:w="60"/>
        <w:gridCol w:w="1400"/>
        <w:gridCol w:w="95"/>
        <w:gridCol w:w="60"/>
        <w:gridCol w:w="60"/>
        <w:gridCol w:w="1400"/>
        <w:gridCol w:w="95"/>
        <w:gridCol w:w="60"/>
        <w:gridCol w:w="60"/>
        <w:gridCol w:w="1220"/>
        <w:gridCol w:w="95"/>
        <w:gridCol w:w="60"/>
        <w:gridCol w:w="60"/>
        <w:gridCol w:w="1400"/>
        <w:gridCol w:w="95"/>
        <w:gridCol w:w="60"/>
        <w:gridCol w:w="60"/>
        <w:gridCol w:w="1400"/>
        <w:gridCol w:w="110"/>
      </w:tblGrid>
      <w:tr>
        <w:trPr/>
        <w:tc>
          <w:tcPr>
            <w:tcW w:w="10760" w:type="dxa"/>
            <w:gridSpan w:val="25"/>
            <w:tcBorders/>
            <w:vAlign w:val="center"/>
          </w:tcPr>
          <w:p>
            <w:pPr>
              <w:pStyle w:val="TableContents"/>
              <w:bidi w:val="0"/>
              <w:jc w:val="center"/>
              <w:rPr>
                <w:b/>
              </w:rPr>
            </w:pPr>
            <w:r>
              <w:rPr>
                <w:b/>
              </w:rPr>
              <w:t>DSC HOLDINGS LTD.</w:t>
              <w:br/>
              <w:t>UNAUDITED CONDENSED CONSOLIDATED STATEMENTS OF</w:t>
              <w:br/>
              <w:t>COMPREHENSIVE LOSS</w:t>
              <w:br/>
              <w:t>(Amounts in thousands of Renminbi (“RMB”) and US dollar (“US$”),</w:t>
              <w:br/>
              <w:t>except for share and per share data, unless otherwise noted)</w:t>
            </w:r>
          </w:p>
          <w:p>
            <w:pPr>
              <w:pStyle w:val="TableContents"/>
              <w:bidi w:val="0"/>
              <w:spacing w:before="0" w:after="283"/>
              <w:jc w:val="center"/>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5"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 xml:space="preserve">For the </w:t>
              <w:br/>
              <w:t>Three Months Ended</w:t>
            </w:r>
          </w:p>
        </w:tc>
        <w:tc>
          <w:tcPr>
            <w:tcW w:w="60" w:type="dxa"/>
            <w:tcBorders/>
            <w:vAlign w:val="center"/>
          </w:tcPr>
          <w:p>
            <w:pPr>
              <w:pStyle w:val="TableContents"/>
              <w:bidi w:val="0"/>
              <w:spacing w:before="0" w:after="283"/>
              <w:jc w:val="left"/>
              <w:rPr/>
            </w:pPr>
            <w:r>
              <w:rPr/>
              <w:t> </w:t>
            </w:r>
          </w:p>
        </w:tc>
        <w:tc>
          <w:tcPr>
            <w:tcW w:w="4620"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For the</w:t>
              <w:br/>
              <w:t> Six Months Ended</w:t>
            </w:r>
          </w:p>
        </w:tc>
      </w:tr>
      <w:tr>
        <w:trPr/>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June 30,</w:t>
              <w:br/>
              <w:t>2025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June 30,</w:t>
              <w:br/>
              <w:t>2026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June 30,</w:t>
              <w:br/>
              <w:t>2026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June 30,</w:t>
              <w:br/>
              <w:t>2025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June 30,</w:t>
              <w:br/>
              <w:t>2026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June 30,</w:t>
              <w:br/>
              <w:t>2026</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r>
      <w:tr>
        <w:trPr/>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20" w:type="dxa"/>
            <w:tcBorders/>
            <w:shd w:fill="FFFFFF" w:val="clear"/>
            <w:vAlign w:val="center"/>
          </w:tcPr>
          <w:p>
            <w:pPr>
              <w:pStyle w:val="TableContents"/>
              <w:bidi w:val="0"/>
              <w:spacing w:before="0" w:after="283"/>
              <w:jc w:val="center"/>
              <w:rPr>
                <w:b/>
              </w:rPr>
            </w:pPr>
            <w:r>
              <w:rPr>
                <w:b/>
              </w:rPr>
              <w:t>RMB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0" w:type="dxa"/>
            <w:tcBorders/>
            <w:shd w:fill="FFFFFF" w:val="clear"/>
            <w:vAlign w:val="center"/>
          </w:tcPr>
          <w:p>
            <w:pPr>
              <w:pStyle w:val="TableContents"/>
              <w:bidi w:val="0"/>
              <w:spacing w:before="0" w:after="283"/>
              <w:jc w:val="center"/>
              <w:rPr>
                <w:b/>
              </w:rPr>
            </w:pPr>
            <w:r>
              <w:rPr>
                <w:b/>
              </w:rPr>
              <w:t>RMB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0" w:type="dxa"/>
            <w:tcBorders/>
            <w:shd w:fill="FFFFFF" w:val="clear"/>
            <w:vAlign w:val="center"/>
          </w:tcPr>
          <w:p>
            <w:pPr>
              <w:pStyle w:val="TableContents"/>
              <w:bidi w:val="0"/>
              <w:spacing w:before="0" w:after="283"/>
              <w:jc w:val="center"/>
              <w:rPr>
                <w:b/>
              </w:rPr>
            </w:pPr>
            <w:r>
              <w:rPr>
                <w:b/>
              </w:rPr>
              <w:t>US$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20" w:type="dxa"/>
            <w:tcBorders/>
            <w:shd w:fill="FFFFFF" w:val="clear"/>
            <w:vAlign w:val="center"/>
          </w:tcPr>
          <w:p>
            <w:pPr>
              <w:pStyle w:val="TableContents"/>
              <w:bidi w:val="0"/>
              <w:spacing w:before="0" w:after="283"/>
              <w:jc w:val="center"/>
              <w:rPr>
                <w:b/>
              </w:rPr>
            </w:pPr>
            <w:r>
              <w:rPr>
                <w:b/>
              </w:rPr>
              <w:t>RMB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0" w:type="dxa"/>
            <w:tcBorders/>
            <w:shd w:fill="FFFFFF" w:val="clear"/>
            <w:vAlign w:val="center"/>
          </w:tcPr>
          <w:p>
            <w:pPr>
              <w:pStyle w:val="TableContents"/>
              <w:bidi w:val="0"/>
              <w:spacing w:before="0" w:after="283"/>
              <w:jc w:val="center"/>
              <w:rPr>
                <w:b/>
              </w:rPr>
            </w:pPr>
            <w:r>
              <w:rPr>
                <w:b/>
              </w:rPr>
              <w:t>RMB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0" w:type="dxa"/>
            <w:tcBorders/>
            <w:shd w:fill="FFFFFF" w:val="clear"/>
            <w:vAlign w:val="center"/>
          </w:tcPr>
          <w:p>
            <w:pPr>
              <w:pStyle w:val="TableContents"/>
              <w:bidi w:val="0"/>
              <w:spacing w:before="0" w:after="283"/>
              <w:jc w:val="center"/>
              <w:rPr>
                <w:b/>
              </w:rPr>
            </w:pPr>
            <w:r>
              <w:rPr>
                <w:b/>
              </w:rPr>
              <w:t>US$</w:t>
            </w:r>
          </w:p>
        </w:tc>
        <w:tc>
          <w:tcPr>
            <w:tcW w:w="110" w:type="dxa"/>
            <w:tcBorders/>
            <w:shd w:fill="FFFFFF" w:val="clear"/>
            <w:vAlign w:val="center"/>
          </w:tcPr>
          <w:p>
            <w:pPr>
              <w:pStyle w:val="TableContents"/>
              <w:bidi w:val="0"/>
              <w:spacing w:before="0" w:after="283"/>
              <w:jc w:val="center"/>
              <w:rPr/>
            </w:pPr>
            <w:r>
              <w:rPr/>
              <w:t> </w:t>
            </w:r>
          </w:p>
        </w:tc>
      </w:tr>
      <w:tr>
        <w:trPr/>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20" w:type="dxa"/>
            <w:tcBorders/>
            <w:shd w:fill="FFFFFF" w:val="clear"/>
            <w:vAlign w:val="center"/>
          </w:tcPr>
          <w:p>
            <w:pPr>
              <w:pStyle w:val="TableContents"/>
              <w:bidi w:val="0"/>
              <w:spacing w:before="0" w:after="283"/>
              <w:jc w:val="center"/>
              <w:rPr>
                <w:b/>
              </w:rPr>
            </w:pPr>
            <w:r>
              <w:rPr>
                <w:b/>
              </w:rPr>
              <w:t>(Unaudited)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0" w:type="dxa"/>
            <w:tcBorders/>
            <w:shd w:fill="FFFFFF" w:val="clear"/>
            <w:vAlign w:val="center"/>
          </w:tcPr>
          <w:p>
            <w:pPr>
              <w:pStyle w:val="TableContents"/>
              <w:bidi w:val="0"/>
              <w:spacing w:before="0" w:after="283"/>
              <w:jc w:val="center"/>
              <w:rPr>
                <w:b/>
              </w:rPr>
            </w:pPr>
            <w:r>
              <w:rPr>
                <w:b/>
              </w:rPr>
              <w:t>(Unaudited)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0" w:type="dxa"/>
            <w:tcBorders/>
            <w:shd w:fill="FFFFFF" w:val="clear"/>
            <w:vAlign w:val="center"/>
          </w:tcPr>
          <w:p>
            <w:pPr>
              <w:pStyle w:val="TableContents"/>
              <w:bidi w:val="0"/>
              <w:spacing w:before="0" w:after="283"/>
              <w:jc w:val="center"/>
              <w:rPr>
                <w:b/>
              </w:rPr>
            </w:pPr>
            <w:r>
              <w:rPr>
                <w:b/>
              </w:rPr>
              <w:t>(Unaudited)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20" w:type="dxa"/>
            <w:tcBorders/>
            <w:shd w:fill="FFFFFF" w:val="clear"/>
            <w:vAlign w:val="center"/>
          </w:tcPr>
          <w:p>
            <w:pPr>
              <w:pStyle w:val="TableContents"/>
              <w:bidi w:val="0"/>
              <w:spacing w:before="0" w:after="283"/>
              <w:jc w:val="center"/>
              <w:rPr>
                <w:b/>
              </w:rPr>
            </w:pPr>
            <w:r>
              <w:rPr>
                <w:b/>
              </w:rPr>
              <w:t>(Unaudited)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0" w:type="dxa"/>
            <w:tcBorders/>
            <w:shd w:fill="FFFFFF" w:val="clear"/>
            <w:vAlign w:val="center"/>
          </w:tcPr>
          <w:p>
            <w:pPr>
              <w:pStyle w:val="TableContents"/>
              <w:bidi w:val="0"/>
              <w:spacing w:before="0" w:after="283"/>
              <w:jc w:val="center"/>
              <w:rPr>
                <w:b/>
              </w:rPr>
            </w:pPr>
            <w:r>
              <w:rPr>
                <w:b/>
              </w:rPr>
              <w:t>(Unaudited)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0" w:type="dxa"/>
            <w:tcBorders/>
            <w:shd w:fill="FFFFFF" w:val="clear"/>
            <w:vAlign w:val="center"/>
          </w:tcPr>
          <w:p>
            <w:pPr>
              <w:pStyle w:val="TableContents"/>
              <w:bidi w:val="0"/>
              <w:spacing w:before="0" w:after="283"/>
              <w:jc w:val="center"/>
              <w:rPr>
                <w:b/>
              </w:rPr>
            </w:pPr>
            <w:r>
              <w:rPr>
                <w:b/>
              </w:rPr>
              <w:t>(Unaudited)</w:t>
            </w:r>
          </w:p>
        </w:tc>
        <w:tc>
          <w:tcPr>
            <w:tcW w:w="110" w:type="dxa"/>
            <w:tcBorders/>
            <w:shd w:fill="FFFFFF" w:val="clear"/>
            <w:vAlign w:val="center"/>
          </w:tcPr>
          <w:p>
            <w:pPr>
              <w:pStyle w:val="TableContents"/>
              <w:bidi w:val="0"/>
              <w:spacing w:before="0" w:after="283"/>
              <w:jc w:val="center"/>
              <w:rPr/>
            </w:pPr>
            <w:r>
              <w:rPr/>
              <w:t> </w:t>
            </w:r>
          </w:p>
        </w:tc>
      </w:tr>
      <w:tr>
        <w:trPr/>
        <w:tc>
          <w:tcPr>
            <w:tcW w:w="141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161,104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167,047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24,620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303,840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313,619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46,222</w:t>
            </w:r>
          </w:p>
        </w:tc>
        <w:tc>
          <w:tcPr>
            <w:tcW w:w="11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(93,943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(108,047</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(15,924</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(178,936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(200,741</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(29,586</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14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67,161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59,000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8,696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124,904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112,878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16,636</w:t>
            </w:r>
          </w:p>
        </w:tc>
        <w:tc>
          <w:tcPr>
            <w:tcW w:w="11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(16,514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(173,671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(25,596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(46,891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(194,844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(28,716</w:t>
            </w:r>
          </w:p>
        </w:tc>
        <w:tc>
          <w:tcPr>
            <w:tcW w:w="110" w:type="dxa"/>
            <w:tcBorders/>
            <w:shd w:fill="FFFFFF" w:val="clear"/>
            <w:vAlign w:val="center"/>
          </w:tcPr>
          <w:p>
            <w:pPr>
              <w:pStyle w:val="TableContents"/>
              <w:bidi w:val="0"/>
              <w:spacing w:before="0" w:after="283"/>
              <w:jc w:val="left"/>
              <w:rPr/>
            </w:pPr>
            <w:r>
              <w:rPr/>
              <w:t>)</w:t>
            </w:r>
          </w:p>
        </w:tc>
      </w:tr>
      <w:tr>
        <w:trPr/>
        <w:tc>
          <w:tcPr>
            <w:tcW w:w="141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(51,062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(92,096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(97,604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(134,224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(19,782</w:t>
            </w:r>
          </w:p>
        </w:tc>
        <w:tc>
          <w:tcPr>
            <w:tcW w:w="110" w:type="dxa"/>
            <w:tcBorders/>
            <w:shd w:fill="CCEEFF" w:val="clear"/>
            <w:vAlign w:val="center"/>
          </w:tcPr>
          <w:p>
            <w:pPr>
              <w:pStyle w:val="TableContents"/>
              <w:bidi w:val="0"/>
              <w:spacing w:before="0" w:after="283"/>
              <w:jc w:val="left"/>
              <w:rPr/>
            </w:pPr>
            <w:r>
              <w:rPr/>
              <w:t>)</w:t>
            </w:r>
          </w:p>
        </w:tc>
      </w:tr>
      <w:tr>
        <w:trPr/>
        <w:tc>
          <w:tcPr>
            <w:tcW w:w="141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(24,196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(36,767</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(5,419</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(48,106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(52,979</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(7,808</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141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(91,772</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(302,534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(44,588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(192,601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(382,047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(56,306</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r>
      <w:tr>
        <w:trPr/>
        <w:tc>
          <w:tcPr>
            <w:tcW w:w="1415"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(24,611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r>
              <w:rPr>
                <w:b/>
              </w:rPr>
              <w:t>(243,534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r>
              <w:rPr>
                <w:b/>
              </w:rPr>
              <w:t>(35,892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(67,697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r>
              <w:rPr>
                <w:b/>
              </w:rPr>
              <w:t>(269,169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r>
              <w:rPr>
                <w:b/>
              </w:rPr>
              <w:t>(39,670</w:t>
            </w:r>
          </w:p>
        </w:tc>
        <w:tc>
          <w:tcPr>
            <w:tcW w:w="110" w:type="dxa"/>
            <w:tcBorders/>
            <w:shd w:fill="FFFFFF" w:val="clear"/>
            <w:vAlign w:val="center"/>
          </w:tcPr>
          <w:p>
            <w:pPr>
              <w:pStyle w:val="TableContents"/>
              <w:bidi w:val="0"/>
              <w:spacing w:before="0" w:after="283"/>
              <w:jc w:val="left"/>
              <w:rPr>
                <w:b/>
              </w:rPr>
            </w:pPr>
            <w:r>
              <w:rPr>
                <w:b/>
              </w:rPr>
              <w:t>)</w:t>
            </w:r>
          </w:p>
        </w:tc>
      </w:tr>
      <w:tr>
        <w:trPr/>
        <w:tc>
          <w:tcPr>
            <w:tcW w:w="1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b/>
              </w:rPr>
            </w:pPr>
            <w:r>
              <w:rPr>
                <w:b/>
              </w:rPr>
              <w:t>Other (expenses)/income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(3,885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(573</w:t>
            </w:r>
          </w:p>
        </w:tc>
        <w:tc>
          <w:tcPr>
            <w:tcW w:w="110" w:type="dxa"/>
            <w:tcBorders/>
            <w:shd w:fill="CCEEFF" w:val="clear"/>
            <w:vAlign w:val="center"/>
          </w:tcPr>
          <w:p>
            <w:pPr>
              <w:pStyle w:val="TableContents"/>
              <w:bidi w:val="0"/>
              <w:spacing w:before="0" w:after="283"/>
              <w:jc w:val="left"/>
              <w:rPr/>
            </w:pPr>
            <w:r>
              <w:rPr/>
              <w:t>)</w:t>
            </w:r>
          </w:p>
        </w:tc>
      </w:tr>
      <w:tr>
        <w:trPr/>
        <w:tc>
          <w:tcPr>
            <w:tcW w:w="1415" w:type="dxa"/>
            <w:tcBorders/>
            <w:shd w:fill="FFFFFF" w:val="clear"/>
            <w:vAlign w:val="center"/>
          </w:tcPr>
          <w:p>
            <w:pPr>
              <w:pStyle w:val="TableContents"/>
              <w:bidi w:val="0"/>
              <w:spacing w:before="0" w:after="283"/>
              <w:jc w:val="left"/>
              <w:rPr/>
            </w:pPr>
            <w:r>
              <w:rPr/>
              <w:t>Foreign exchange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259</w:t>
            </w:r>
          </w:p>
        </w:tc>
        <w:tc>
          <w:tcPr>
            <w:tcW w:w="11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pPr>
            <w:r>
              <w:rPr/>
              <w:t>Others,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415</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2,732</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403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4,878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2,284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337</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b/>
              </w:rPr>
            </w:pPr>
            <w:r>
              <w:rPr>
                <w:b/>
              </w:rPr>
              <w:t>Total other (expenses)/</w:t>
              <w:br/>
              <w:t>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(444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r>
              <w:rPr>
                <w:b/>
              </w:rPr>
              <w:t>3,632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r>
              <w:rPr>
                <w:b/>
              </w:rPr>
              <w:t>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r>
              <w:rPr>
                <w:b/>
              </w:rPr>
              <w:t>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r>
              <w:rPr>
                <w:b/>
              </w:rPr>
              <w:t>23</w:t>
            </w:r>
          </w:p>
        </w:tc>
        <w:tc>
          <w:tcPr>
            <w:tcW w:w="11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(25,055</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(239,902</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(35,356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(64,567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(269,014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(39,647</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r>
      <w:tr>
        <w:trPr/>
        <w:tc>
          <w:tcPr>
            <w:tcW w:w="141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(936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(138</w:t>
            </w:r>
          </w:p>
        </w:tc>
        <w:tc>
          <w:tcPr>
            <w:tcW w:w="110" w:type="dxa"/>
            <w:tcBorders/>
            <w:shd w:fill="FFFFFF" w:val="clear"/>
            <w:vAlign w:val="center"/>
          </w:tcPr>
          <w:p>
            <w:pPr>
              <w:pStyle w:val="TableContents"/>
              <w:bidi w:val="0"/>
              <w:spacing w:before="0" w:after="283"/>
              <w:jc w:val="left"/>
              <w:rPr/>
            </w:pPr>
            <w:r>
              <w:rPr/>
              <w:t>)</w:t>
            </w:r>
          </w:p>
        </w:tc>
      </w:tr>
      <w:tr>
        <w:trPr/>
        <w:tc>
          <w:tcPr>
            <w:tcW w:w="1415" w:type="dxa"/>
            <w:tcBorders/>
            <w:shd w:fill="CCEEFF" w:val="clear"/>
            <w:vAlign w:val="center"/>
          </w:tcPr>
          <w:p>
            <w:pPr>
              <w:pStyle w:val="TableContents"/>
              <w:bidi w:val="0"/>
              <w:spacing w:before="0" w:after="283"/>
              <w:jc w:val="left"/>
              <w:rPr/>
            </w:pPr>
            <w:r>
              <w:rPr/>
              <w:t>Share of incomes from equity method investments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214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109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323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220</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(25,028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r>
              <w:rPr>
                <w:b/>
              </w:rPr>
              <w:t>(240,488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r>
              <w:rPr>
                <w:b/>
              </w:rPr>
              <w:t>(35,442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(64,612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r>
              <w:rPr>
                <w:b/>
              </w:rPr>
              <w:t>(269,730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r>
              <w:rPr>
                <w:b/>
              </w:rPr>
              <w:t>(39,753</w:t>
            </w:r>
          </w:p>
        </w:tc>
        <w:tc>
          <w:tcPr>
            <w:tcW w:w="110" w:type="dxa"/>
            <w:tcBorders/>
            <w:shd w:fill="FFFFFF" w:val="clear"/>
            <w:vAlign w:val="center"/>
          </w:tcPr>
          <w:p>
            <w:pPr>
              <w:pStyle w:val="TableContents"/>
              <w:bidi w:val="0"/>
              <w:spacing w:before="0" w:after="283"/>
              <w:jc w:val="left"/>
              <w:rPr>
                <w:b/>
              </w:rPr>
            </w:pPr>
            <w:r>
              <w:rPr>
                <w:b/>
              </w:rPr>
              <w:t>)</w:t>
            </w:r>
          </w:p>
        </w:tc>
      </w:tr>
      <w:tr>
        <w:trPr/>
        <w:tc>
          <w:tcPr>
            <w:tcW w:w="1415" w:type="dxa"/>
            <w:tcBorders/>
            <w:shd w:fill="CCEEFF" w:val="clear"/>
            <w:vAlign w:val="center"/>
          </w:tcPr>
          <w:p>
            <w:pPr>
              <w:pStyle w:val="TableContents"/>
              <w:bidi w:val="0"/>
              <w:spacing w:before="0" w:after="283"/>
              <w:jc w:val="left"/>
              <w:rPr/>
            </w:pPr>
            <w:r>
              <w:rPr/>
              <w:t>Less: Net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w:t>
            </w:r>
          </w:p>
        </w:tc>
      </w:tr>
      <w:tr>
        <w:trPr/>
        <w:tc>
          <w:tcPr>
            <w:tcW w:w="1415" w:type="dxa"/>
            <w:tcBorders/>
            <w:shd w:fill="FFFFFF" w:val="clear"/>
            <w:vAlign w:val="center"/>
          </w:tcPr>
          <w:p>
            <w:pPr>
              <w:pStyle w:val="TableContents"/>
              <w:bidi w:val="0"/>
              <w:spacing w:before="0" w:after="283"/>
              <w:jc w:val="left"/>
              <w:rPr>
                <w:b/>
              </w:rPr>
            </w:pPr>
            <w:r>
              <w:rPr>
                <w:b/>
              </w:rPr>
              <w:t>Net loss attributable to DSC Holdings Ltd.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(25,928</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(240,485</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(35,442</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(64,625</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(269,701</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(39,749</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r>
      <w:tr>
        <w:trPr/>
        <w:tc>
          <w:tcPr>
            <w:tcW w:w="1415" w:type="dxa"/>
            <w:tcBorders/>
            <w:shd w:fill="CCEEFF" w:val="clear"/>
            <w:vAlign w:val="center"/>
          </w:tcPr>
          <w:p>
            <w:pPr>
              <w:pStyle w:val="TableContents"/>
              <w:bidi w:val="0"/>
              <w:spacing w:before="0" w:after="283"/>
              <w:jc w:val="left"/>
              <w:rPr/>
            </w:pPr>
            <w:r>
              <w:rPr/>
              <w:t>Accretion of the Company`s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(427,019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(463,024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(68,241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(841,685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(913,061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(134,569</w:t>
            </w:r>
          </w:p>
        </w:tc>
        <w:tc>
          <w:tcPr>
            <w:tcW w:w="110" w:type="dxa"/>
            <w:tcBorders/>
            <w:shd w:fill="CCEEFF" w:val="clear"/>
            <w:vAlign w:val="center"/>
          </w:tcPr>
          <w:p>
            <w:pPr>
              <w:pStyle w:val="TableContents"/>
              <w:bidi w:val="0"/>
              <w:spacing w:before="0" w:after="283"/>
              <w:jc w:val="left"/>
              <w:rPr/>
            </w:pPr>
            <w:r>
              <w:rPr/>
              <w:t>)</w:t>
            </w:r>
          </w:p>
        </w:tc>
      </w:tr>
      <w:tr>
        <w:trPr/>
        <w:tc>
          <w:tcPr>
            <w:tcW w:w="1415" w:type="dxa"/>
            <w:tcBorders/>
            <w:shd w:fill="FFFFFF" w:val="clear"/>
            <w:vAlign w:val="center"/>
          </w:tcPr>
          <w:p>
            <w:pPr>
              <w:pStyle w:val="TableContents"/>
              <w:bidi w:val="0"/>
              <w:spacing w:before="0" w:after="283"/>
              <w:jc w:val="left"/>
              <w:rPr>
                <w:b/>
              </w:rPr>
            </w:pPr>
            <w:r>
              <w:rPr>
                <w:b/>
              </w:rPr>
              <w:t>Net loss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(452,947</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(703,509</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(103,683</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(906,310</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(1,182,762</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(174,318</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r>
      <w:tr>
        <w:trPr/>
        <w:tc>
          <w:tcPr>
            <w:tcW w:w="1415" w:type="dxa"/>
            <w:tcBorders/>
            <w:shd w:fill="CCEEFF" w:val="clear"/>
            <w:vAlign w:val="center"/>
          </w:tcPr>
          <w:p>
            <w:pPr>
              <w:pStyle w:val="TableContents"/>
              <w:bidi w:val="0"/>
              <w:spacing w:before="0" w:after="283"/>
              <w:jc w:val="both"/>
              <w:rPr>
                <w:b/>
              </w:rPr>
            </w:pPr>
            <w:r>
              <w:rPr>
                <w:b/>
              </w:rPr>
              <w:t>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(0.17</w:t>
            </w:r>
          </w:p>
        </w:tc>
        <w:tc>
          <w:tcPr>
            <w:tcW w:w="110" w:type="dxa"/>
            <w:tcBorders/>
            <w:shd w:fill="FFFFFF" w:val="clear"/>
            <w:vAlign w:val="center"/>
          </w:tcPr>
          <w:p>
            <w:pPr>
              <w:pStyle w:val="TableContents"/>
              <w:bidi w:val="0"/>
              <w:spacing w:before="0" w:after="283"/>
              <w:jc w:val="left"/>
              <w:rPr/>
            </w:pPr>
            <w:r>
              <w:rPr/>
              <w:t>)</w:t>
            </w:r>
          </w:p>
        </w:tc>
      </w:tr>
      <w:tr>
        <w:trPr/>
        <w:tc>
          <w:tcPr>
            <w:tcW w:w="1415" w:type="dxa"/>
            <w:tcBorders/>
            <w:shd w:fill="CCEEFF" w:val="clear"/>
            <w:vAlign w:val="center"/>
          </w:tcPr>
          <w:p>
            <w:pPr>
              <w:pStyle w:val="TableContents"/>
              <w:bidi w:val="0"/>
              <w:spacing w:before="0" w:after="283"/>
              <w:jc w:val="left"/>
              <w:rPr>
                <w:b/>
              </w:rPr>
            </w:pPr>
            <w:r>
              <w:rPr>
                <w:b/>
              </w:rPr>
              <w:t>Weighted average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136,159,402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1,001,449,847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1,001,449,847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136,159,402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1,001,449,847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1,001,449,847</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center"/>
        <w:rPr/>
      </w:pPr>
      <w:r>
        <w:rPr/>
      </w:r>
    </w:p>
    <w:tbl>
      <w:tblPr>
        <w:tblW w:w="10205" w:type="dxa"/>
        <w:jc w:val="left"/>
        <w:tblInd w:w="0" w:type="dxa"/>
        <w:tblLayout w:type="fixed"/>
        <w:tblCellMar>
          <w:top w:w="0" w:type="dxa"/>
          <w:left w:w="0" w:type="dxa"/>
          <w:bottom w:w="0" w:type="dxa"/>
          <w:right w:w="0" w:type="dxa"/>
        </w:tblCellMar>
      </w:tblPr>
      <w:tblGrid>
        <w:gridCol w:w="2679"/>
        <w:gridCol w:w="60"/>
        <w:gridCol w:w="68"/>
        <w:gridCol w:w="1008"/>
        <w:gridCol w:w="109"/>
        <w:gridCol w:w="60"/>
        <w:gridCol w:w="68"/>
        <w:gridCol w:w="1008"/>
        <w:gridCol w:w="109"/>
        <w:gridCol w:w="60"/>
        <w:gridCol w:w="68"/>
        <w:gridCol w:w="1008"/>
        <w:gridCol w:w="109"/>
        <w:gridCol w:w="60"/>
        <w:gridCol w:w="68"/>
        <w:gridCol w:w="1008"/>
        <w:gridCol w:w="109"/>
        <w:gridCol w:w="60"/>
        <w:gridCol w:w="60"/>
        <w:gridCol w:w="1060"/>
        <w:gridCol w:w="95"/>
        <w:gridCol w:w="60"/>
        <w:gridCol w:w="68"/>
        <w:gridCol w:w="1006"/>
        <w:gridCol w:w="137"/>
      </w:tblGrid>
      <w:tr>
        <w:trPr/>
        <w:tc>
          <w:tcPr>
            <w:tcW w:w="10205" w:type="dxa"/>
            <w:gridSpan w:val="25"/>
            <w:tcBorders/>
            <w:vAlign w:val="center"/>
          </w:tcPr>
          <w:p>
            <w:pPr>
              <w:pStyle w:val="TableContents"/>
              <w:bidi w:val="0"/>
              <w:jc w:val="center"/>
              <w:rPr>
                <w:b/>
              </w:rPr>
            </w:pPr>
            <w:r>
              <w:rPr>
                <w:b/>
              </w:rPr>
              <w:t>DSC HOLDINGS LTD.</w:t>
              <w:br/>
              <w:t>UNAUDITED CONDENSED CONSOLIDATED STATEMENTS OF</w:t>
              <w:br/>
              <w:t>COMPREHENSIVE LOSS (CONTINUED)</w:t>
              <w:br/>
              <w:t>(Amounts in thousands of Renminbi (“RMB”) and US dollar (“US$”),</w:t>
              <w:br/>
              <w:t>except for share and per share data, unless otherwise noted)</w:t>
            </w:r>
          </w:p>
          <w:p>
            <w:pPr>
              <w:pStyle w:val="TableContents"/>
              <w:bidi w:val="0"/>
              <w:spacing w:before="0" w:after="283"/>
              <w:jc w:val="center"/>
              <w:rPr/>
            </w:pPr>
            <w:r>
              <w:rPr/>
              <w:t> </w:t>
            </w:r>
          </w:p>
        </w:tc>
      </w:tr>
      <w:tr>
        <w:trPr/>
        <w:tc>
          <w:tcPr>
            <w:tcW w:w="2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5"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3731"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r>
          </w:p>
        </w:tc>
      </w:tr>
      <w:tr>
        <w:trPr/>
        <w:tc>
          <w:tcPr>
            <w:tcW w:w="26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center"/>
              <w:rPr/>
            </w:pPr>
            <w:r>
              <w:rPr/>
              <w:t> </w:t>
            </w:r>
          </w:p>
        </w:tc>
        <w:tc>
          <w:tcPr>
            <w:tcW w:w="118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center"/>
              <w:rPr/>
            </w:pPr>
            <w:r>
              <w:rPr/>
              <w:t> </w:t>
            </w:r>
          </w:p>
        </w:tc>
        <w:tc>
          <w:tcPr>
            <w:tcW w:w="118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center"/>
              <w:rPr/>
            </w:pPr>
            <w:r>
              <w:rPr/>
              <w:t> </w:t>
            </w:r>
          </w:p>
        </w:tc>
        <w:tc>
          <w:tcPr>
            <w:tcW w:w="118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center"/>
              <w:rPr/>
            </w:pPr>
            <w:r>
              <w:rPr/>
              <w:t> </w:t>
            </w:r>
          </w:p>
        </w:tc>
        <w:tc>
          <w:tcPr>
            <w:tcW w:w="12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center"/>
              <w:rPr/>
            </w:pPr>
            <w:r>
              <w:rPr/>
              <w:t> </w:t>
            </w:r>
          </w:p>
        </w:tc>
        <w:tc>
          <w:tcPr>
            <w:tcW w:w="121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r>
      <w:tr>
        <w:trPr/>
        <w:tc>
          <w:tcPr>
            <w:tcW w:w="26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5" w:type="dxa"/>
            <w:gridSpan w:val="3"/>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1185" w:type="dxa"/>
            <w:gridSpan w:val="3"/>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1185" w:type="dxa"/>
            <w:gridSpan w:val="3"/>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1185" w:type="dxa"/>
            <w:gridSpan w:val="3"/>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1215" w:type="dxa"/>
            <w:gridSpan w:val="3"/>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1211" w:type="dxa"/>
            <w:gridSpan w:val="3"/>
            <w:tcBorders/>
            <w:vAlign w:val="center"/>
          </w:tcPr>
          <w:p>
            <w:pPr>
              <w:pStyle w:val="TableContents"/>
              <w:bidi w:val="0"/>
              <w:spacing w:before="0" w:after="283"/>
              <w:jc w:val="center"/>
              <w:rPr>
                <w:b/>
              </w:rPr>
            </w:pPr>
            <w:r>
              <w:rPr>
                <w:b/>
              </w:rPr>
              <w:t>US$</w:t>
            </w:r>
          </w:p>
        </w:tc>
      </w:tr>
      <w:tr>
        <w:trPr/>
        <w:tc>
          <w:tcPr>
            <w:tcW w:w="26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5" w:type="dxa"/>
            <w:gridSpan w:val="3"/>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1185" w:type="dxa"/>
            <w:gridSpan w:val="3"/>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1185" w:type="dxa"/>
            <w:gridSpan w:val="3"/>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1185" w:type="dxa"/>
            <w:gridSpan w:val="3"/>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1215" w:type="dxa"/>
            <w:gridSpan w:val="3"/>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1211" w:type="dxa"/>
            <w:gridSpan w:val="3"/>
            <w:tcBorders/>
            <w:vAlign w:val="center"/>
          </w:tcPr>
          <w:p>
            <w:pPr>
              <w:pStyle w:val="TableContents"/>
              <w:bidi w:val="0"/>
              <w:spacing w:before="0" w:after="283"/>
              <w:jc w:val="center"/>
              <w:rPr>
                <w:b/>
              </w:rPr>
            </w:pPr>
            <w:r>
              <w:rPr>
                <w:b/>
              </w:rPr>
              <w:t>(Unaudited)</w:t>
            </w:r>
          </w:p>
        </w:tc>
      </w:tr>
      <w:tr>
        <w:trPr/>
        <w:tc>
          <w:tcPr>
            <w:tcW w:w="2679" w:type="dxa"/>
            <w:tcBorders/>
            <w:vAlign w:val="center"/>
          </w:tcPr>
          <w:p>
            <w:pPr>
              <w:pStyle w:val="TableContents"/>
              <w:bidi w:val="0"/>
              <w:spacing w:before="0" w:after="283"/>
              <w:jc w:val="left"/>
              <w:rPr>
                <w:b/>
              </w:rPr>
            </w:pPr>
            <w:r>
              <w:rPr>
                <w:b/>
              </w:rPr>
              <w:t>Other comprehensive loss, net of tax of nil:</w:t>
            </w:r>
          </w:p>
        </w:tc>
        <w:tc>
          <w:tcPr>
            <w:tcW w:w="60" w:type="dxa"/>
            <w:tcBorders/>
            <w:vAlign w:val="center"/>
          </w:tcPr>
          <w:p>
            <w:pPr>
              <w:pStyle w:val="TableContents"/>
              <w:bidi w:val="0"/>
              <w:spacing w:before="0" w:after="283"/>
              <w:jc w:val="left"/>
              <w:rPr/>
            </w:pPr>
            <w:r>
              <w:rPr/>
              <w:t> </w:t>
            </w:r>
          </w:p>
        </w:tc>
        <w:tc>
          <w:tcPr>
            <w:tcW w:w="118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8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8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8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1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11" w:type="dxa"/>
            <w:gridSpan w:val="3"/>
            <w:tcBorders/>
            <w:vAlign w:val="center"/>
          </w:tcPr>
          <w:p>
            <w:pPr>
              <w:pStyle w:val="TableContents"/>
              <w:bidi w:val="0"/>
              <w:spacing w:before="0" w:after="283"/>
              <w:jc w:val="right"/>
              <w:rPr/>
            </w:pPr>
            <w:r>
              <w:rPr/>
              <w:t> </w:t>
            </w:r>
          </w:p>
        </w:tc>
      </w:tr>
      <w:tr>
        <w:trPr/>
        <w:tc>
          <w:tcPr>
            <w:tcW w:w="2679"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(201</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(1,141</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(168</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(304</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(2,291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pPr>
            <w:r>
              <w:rPr/>
              <w:t>(338</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2679"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b/>
              </w:rPr>
            </w:pPr>
            <w:r>
              <w:rPr>
                <w:b/>
              </w:rPr>
              <w:t>(25,229</w:t>
            </w:r>
          </w:p>
        </w:tc>
        <w:tc>
          <w:tcPr>
            <w:tcW w:w="109"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b/>
              </w:rPr>
            </w:pPr>
            <w:r>
              <w:rPr>
                <w:b/>
              </w:rPr>
              <w:t>(241,629</w:t>
            </w:r>
          </w:p>
        </w:tc>
        <w:tc>
          <w:tcPr>
            <w:tcW w:w="109"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b/>
              </w:rPr>
            </w:pPr>
            <w:r>
              <w:rPr>
                <w:b/>
              </w:rPr>
              <w:t>(35,610</w:t>
            </w:r>
          </w:p>
        </w:tc>
        <w:tc>
          <w:tcPr>
            <w:tcW w:w="109"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b/>
              </w:rPr>
            </w:pPr>
            <w:r>
              <w:rPr>
                <w:b/>
              </w:rPr>
              <w:t>(64,916</w:t>
            </w:r>
          </w:p>
        </w:tc>
        <w:tc>
          <w:tcPr>
            <w:tcW w:w="109"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b/>
              </w:rPr>
            </w:pPr>
            <w:r>
              <w:rPr>
                <w:b/>
              </w:rPr>
              <w:t>(272,021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b/>
              </w:rPr>
            </w:pPr>
            <w:r>
              <w:rPr>
                <w:b/>
              </w:rPr>
              <w:t>(40,091</w:t>
            </w:r>
          </w:p>
        </w:tc>
        <w:tc>
          <w:tcPr>
            <w:tcW w:w="137" w:type="dxa"/>
            <w:tcBorders/>
            <w:shd w:fill="FFFFFF" w:val="clear"/>
            <w:vAlign w:val="center"/>
          </w:tcPr>
          <w:p>
            <w:pPr>
              <w:pStyle w:val="TableContents"/>
              <w:bidi w:val="0"/>
              <w:spacing w:before="0" w:after="283"/>
              <w:jc w:val="left"/>
              <w:rPr>
                <w:b/>
              </w:rPr>
            </w:pPr>
            <w:r>
              <w:rPr>
                <w:b/>
              </w:rPr>
              <w:t>)</w:t>
            </w:r>
          </w:p>
        </w:tc>
      </w:tr>
      <w:tr>
        <w:trPr/>
        <w:tc>
          <w:tcPr>
            <w:tcW w:w="2679" w:type="dxa"/>
            <w:tcBorders/>
            <w:shd w:fill="CCEEFF" w:val="clear"/>
            <w:vAlign w:val="center"/>
          </w:tcPr>
          <w:p>
            <w:pPr>
              <w:pStyle w:val="TableContents"/>
              <w:bidi w:val="0"/>
              <w:spacing w:before="0" w:after="283"/>
              <w:jc w:val="left"/>
              <w:rPr/>
            </w:pPr>
            <w:r>
              <w:rPr/>
              <w:t>Comprehensive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900</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(29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2679" w:type="dxa"/>
            <w:tcBorders/>
            <w:shd w:fill="FFFFFF" w:val="clear"/>
            <w:vAlign w:val="center"/>
          </w:tcPr>
          <w:p>
            <w:pPr>
              <w:pStyle w:val="TableContents"/>
              <w:bidi w:val="0"/>
              <w:spacing w:before="0" w:after="283"/>
              <w:jc w:val="left"/>
              <w:rPr>
                <w:b/>
              </w:rPr>
            </w:pPr>
            <w:r>
              <w:rPr>
                <w:b/>
              </w:rPr>
              <w:t>Comprehensive loss attributable to DSC Holdings Ltd.</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pPr>
            <w:r>
              <w:rPr/>
              <w:t>(26,129</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pPr>
            <w:r>
              <w:rPr/>
              <w:t>(241,626</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pPr>
            <w:r>
              <w:rPr/>
              <w:t>(35,610</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pPr>
            <w:r>
              <w:rPr/>
              <w:t>(64,929</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pPr>
            <w:r>
              <w:rPr/>
              <w:t>(271,992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pPr>
            <w:r>
              <w:rPr/>
              <w:t>(40,087</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2679" w:type="dxa"/>
            <w:tcBorders/>
            <w:shd w:fill="CCEEFF" w:val="clear"/>
            <w:vAlign w:val="center"/>
          </w:tcPr>
          <w:p>
            <w:pPr>
              <w:pStyle w:val="TableContents"/>
              <w:bidi w:val="0"/>
              <w:spacing w:before="0" w:after="283"/>
              <w:jc w:val="left"/>
              <w:rPr/>
            </w:pPr>
            <w:r>
              <w:rPr/>
              <w:t>Accretion of preferred shares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(427,019</w:t>
            </w:r>
          </w:p>
        </w:tc>
        <w:tc>
          <w:tcPr>
            <w:tcW w:w="10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(463,024</w:t>
            </w:r>
          </w:p>
        </w:tc>
        <w:tc>
          <w:tcPr>
            <w:tcW w:w="10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(68,241</w:t>
            </w:r>
          </w:p>
        </w:tc>
        <w:tc>
          <w:tcPr>
            <w:tcW w:w="10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(841,685</w:t>
            </w:r>
          </w:p>
        </w:tc>
        <w:tc>
          <w:tcPr>
            <w:tcW w:w="10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(913,061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(134,569</w:t>
            </w:r>
          </w:p>
        </w:tc>
        <w:tc>
          <w:tcPr>
            <w:tcW w:w="137" w:type="dxa"/>
            <w:tcBorders/>
            <w:shd w:fill="CCEEFF" w:val="clear"/>
            <w:vAlign w:val="center"/>
          </w:tcPr>
          <w:p>
            <w:pPr>
              <w:pStyle w:val="TableContents"/>
              <w:bidi w:val="0"/>
              <w:spacing w:before="0" w:after="283"/>
              <w:jc w:val="left"/>
              <w:rPr/>
            </w:pPr>
            <w:r>
              <w:rPr/>
              <w:t>)</w:t>
            </w:r>
          </w:p>
        </w:tc>
      </w:tr>
      <w:tr>
        <w:trPr/>
        <w:tc>
          <w:tcPr>
            <w:tcW w:w="2679" w:type="dxa"/>
            <w:tcBorders/>
            <w:shd w:fill="FFFFFF" w:val="clear"/>
            <w:vAlign w:val="center"/>
          </w:tcPr>
          <w:p>
            <w:pPr>
              <w:pStyle w:val="TableContents"/>
              <w:bidi w:val="0"/>
              <w:spacing w:before="0" w:after="283"/>
              <w:jc w:val="left"/>
              <w:rPr>
                <w:b/>
              </w:rPr>
            </w:pPr>
            <w:r>
              <w:rPr>
                <w:b/>
              </w:rPr>
              <w:t>Comprehensive loss attributable to ordinary shareholders of DSC Holdings Ltd.</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(453,148</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(704,650</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(103,851</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(906,614</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(1,185,053</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(174,656</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r>
      <w:tr>
        <w:trPr/>
        <w:tc>
          <w:tcPr>
            <w:tcW w:w="26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b/>
              </w:rPr>
            </w:pPr>
            <w:r>
              <w:rPr>
                <w:b/>
              </w:rPr>
              <w:t>Reconciliation of net loss to non-GAAP</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2679" w:type="dxa"/>
            <w:tcBorders/>
            <w:shd w:fill="CCEEFF" w:val="clear"/>
            <w:vAlign w:val="center"/>
          </w:tcPr>
          <w:p>
            <w:pPr>
              <w:pStyle w:val="TableContents"/>
              <w:bidi w:val="0"/>
              <w:spacing w:before="0" w:after="283"/>
              <w:jc w:val="left"/>
              <w:rPr>
                <w:b/>
              </w:rPr>
            </w:pPr>
            <w:r>
              <w:rPr>
                <w:b/>
              </w:rPr>
              <w:t>Net Loss (GAAP)</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(25,028</w:t>
            </w:r>
          </w:p>
        </w:tc>
        <w:tc>
          <w:tcPr>
            <w:tcW w:w="10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(240,488</w:t>
            </w:r>
          </w:p>
        </w:tc>
        <w:tc>
          <w:tcPr>
            <w:tcW w:w="10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(35,442</w:t>
            </w:r>
          </w:p>
        </w:tc>
        <w:tc>
          <w:tcPr>
            <w:tcW w:w="10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(64,612</w:t>
            </w:r>
          </w:p>
        </w:tc>
        <w:tc>
          <w:tcPr>
            <w:tcW w:w="10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(269,730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(39,753</w:t>
            </w:r>
          </w:p>
        </w:tc>
        <w:tc>
          <w:tcPr>
            <w:tcW w:w="137" w:type="dxa"/>
            <w:tcBorders/>
            <w:shd w:fill="CCEEFF" w:val="clear"/>
            <w:vAlign w:val="center"/>
          </w:tcPr>
          <w:p>
            <w:pPr>
              <w:pStyle w:val="TableContents"/>
              <w:bidi w:val="0"/>
              <w:spacing w:before="0" w:after="283"/>
              <w:jc w:val="left"/>
              <w:rPr/>
            </w:pPr>
            <w:r>
              <w:rPr/>
              <w:t>)</w:t>
            </w:r>
          </w:p>
        </w:tc>
      </w:tr>
      <w:tr>
        <w:trPr/>
        <w:tc>
          <w:tcPr>
            <w:tcW w:w="2679" w:type="dxa"/>
            <w:tcBorders/>
            <w:shd w:fill="FFFFFF" w:val="clear"/>
            <w:vAlign w:val="center"/>
          </w:tcPr>
          <w:p>
            <w:pPr>
              <w:pStyle w:val="TableContents"/>
              <w:bidi w:val="0"/>
              <w:spacing w:before="0" w:after="283"/>
              <w:jc w:val="left"/>
              <w:rPr/>
            </w:pPr>
            <w:r>
              <w:rPr/>
              <w:t>Amortization of intangible assets</w:t>
            </w:r>
            <w:r>
              <w:rPr>
                <w:position w:val="8"/>
                <w:sz w:val="19"/>
              </w:rPr>
              <w:t xml:space="preserve"> (1)</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5,820</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5,756</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848</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11,402</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11,496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1,694</w:t>
            </w:r>
          </w:p>
        </w:tc>
        <w:tc>
          <w:tcPr>
            <w:tcW w:w="137" w:type="dxa"/>
            <w:tcBorders/>
            <w:shd w:fill="FFFFFF" w:val="clear"/>
            <w:vAlign w:val="center"/>
          </w:tcPr>
          <w:p>
            <w:pPr>
              <w:pStyle w:val="TableContents"/>
              <w:bidi w:val="0"/>
              <w:spacing w:before="0" w:after="283"/>
              <w:jc w:val="left"/>
              <w:rPr/>
            </w:pPr>
            <w:r>
              <w:rPr/>
              <w:t> </w:t>
            </w:r>
          </w:p>
        </w:tc>
      </w:tr>
      <w:tr>
        <w:trPr/>
        <w:tc>
          <w:tcPr>
            <w:tcW w:w="2679" w:type="dxa"/>
            <w:tcBorders/>
            <w:shd w:fill="CCEEFF" w:val="clear"/>
            <w:vAlign w:val="center"/>
          </w:tcPr>
          <w:p>
            <w:pPr>
              <w:pStyle w:val="TableContents"/>
              <w:bidi w:val="0"/>
              <w:spacing w:before="0" w:after="283"/>
              <w:jc w:val="left"/>
              <w:rPr/>
            </w:pPr>
            <w:r>
              <w:rPr/>
              <w:t>Share-based compensation expenses were included in:</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159,472</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23,503</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159,472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23,503</w:t>
            </w:r>
          </w:p>
        </w:tc>
        <w:tc>
          <w:tcPr>
            <w:tcW w:w="137" w:type="dxa"/>
            <w:tcBorders/>
            <w:shd w:fill="FFFFFF" w:val="clear"/>
            <w:vAlign w:val="center"/>
          </w:tcPr>
          <w:p>
            <w:pPr>
              <w:pStyle w:val="TableContents"/>
              <w:bidi w:val="0"/>
              <w:spacing w:before="0" w:after="283"/>
              <w:jc w:val="left"/>
              <w:rPr/>
            </w:pPr>
            <w:r>
              <w:rPr/>
              <w:t> </w:t>
            </w:r>
          </w:p>
        </w:tc>
      </w:tr>
      <w:tr>
        <w:trPr/>
        <w:tc>
          <w:tcPr>
            <w:tcW w:w="2679"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48,196</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7,103</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48,196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7,103</w:t>
            </w:r>
          </w:p>
        </w:tc>
        <w:tc>
          <w:tcPr>
            <w:tcW w:w="137" w:type="dxa"/>
            <w:tcBorders/>
            <w:shd w:fill="CCEE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19,627</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2,893</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19,627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2,893</w:t>
            </w:r>
          </w:p>
        </w:tc>
        <w:tc>
          <w:tcPr>
            <w:tcW w:w="137" w:type="dxa"/>
            <w:tcBorders/>
            <w:shd w:fill="FFFFFF" w:val="clear"/>
            <w:vAlign w:val="center"/>
          </w:tcPr>
          <w:p>
            <w:pPr>
              <w:pStyle w:val="TableContents"/>
              <w:bidi w:val="0"/>
              <w:spacing w:before="0" w:after="283"/>
              <w:jc w:val="left"/>
              <w:rPr/>
            </w:pPr>
            <w:r>
              <w:rPr/>
              <w:t> </w:t>
            </w:r>
          </w:p>
        </w:tc>
      </w:tr>
      <w:tr>
        <w:trPr/>
        <w:tc>
          <w:tcPr>
            <w:tcW w:w="2679" w:type="dxa"/>
            <w:tcBorders/>
            <w:shd w:fill="CCEEFF" w:val="clear"/>
            <w:vAlign w:val="center"/>
          </w:tcPr>
          <w:p>
            <w:pPr>
              <w:pStyle w:val="TableContents"/>
              <w:bidi w:val="0"/>
              <w:spacing w:before="0" w:after="283"/>
              <w:jc w:val="left"/>
              <w:rPr>
                <w:b/>
              </w:rPr>
            </w:pPr>
            <w:r>
              <w:rPr>
                <w:b/>
              </w:rPr>
              <w:t>Adjusted net loss (non-GAAP)</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(19,208</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(7,437</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(1,095</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(53,210</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pPr>
            <w:r>
              <w:rPr/>
              <w:t>(30,939</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283"/>
              <w:jc w:val="right"/>
              <w:rPr/>
            </w:pPr>
            <w:r>
              <w:rPr/>
              <w:t>(4,560</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br/>
        <w:t>(1) This represents amortization of intangible assets resulting from business combinations.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3000</Words>
  <Characters>17153</Characters>
  <CharactersWithSpaces>20900</CharactersWithSpaces>
  <Paragraphs>2146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