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44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44842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Zhang Gongwei</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40" w:type="dxa"/>
            <w:vAlign w:val="bottom"/>
            <w:tcBorders>
              <w:top w:val="single" w:sz="8" w:color="0000EE"/>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06/24/2026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DSC Holdings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DSC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60" w:type="dxa"/>
            <w:vAlign w:val="bottom"/>
          </w:tcPr>
          <w:p>
            <w:pPr>
              <w:ind w:left="280"/>
              <w:spacing w:after="0"/>
              <w:rPr>
                <w:sz w:val="20"/>
                <w:szCs w:val="20"/>
                <w:color w:val="auto"/>
              </w:rPr>
            </w:pPr>
            <w:r>
              <w:rPr>
                <w:rFonts w:ascii="Arial" w:cs="Arial" w:eastAsia="Arial" w:hAnsi="Arial"/>
                <w:sz w:val="15"/>
                <w:szCs w:val="15"/>
                <w:color w:val="auto"/>
              </w:rPr>
              <w:t>(First)</w:t>
            </w:r>
          </w:p>
        </w:tc>
        <w:tc>
          <w:tcPr>
            <w:tcW w:w="116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NO.175 WUCHANG AVENUE</w:t>
            </w:r>
          </w:p>
        </w:tc>
      </w:tr>
      <w:tr>
        <w:trPr>
          <w:trHeight w:val="300"/>
        </w:trPr>
        <w:tc>
          <w:tcPr>
            <w:tcW w:w="19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YUHANG DISTRICT</w:t>
            </w:r>
          </w:p>
        </w:tc>
        <w:tc>
          <w:tcPr>
            <w:tcW w:w="116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65"/>
        </w:trPr>
        <w:tc>
          <w:tcPr>
            <w:tcW w:w="19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HANGZHOU F4</w:t>
            </w:r>
          </w:p>
        </w:tc>
        <w:tc>
          <w:tcPr>
            <w:tcW w:w="1160" w:type="dxa"/>
            <w:vAlign w:val="bottom"/>
          </w:tcPr>
          <w:p>
            <w:pPr>
              <w:jc w:val="right"/>
              <w:ind w:right="314"/>
              <w:spacing w:after="0"/>
              <w:rPr>
                <w:sz w:val="20"/>
                <w:szCs w:val="20"/>
                <w:color w:val="auto"/>
              </w:rPr>
            </w:pPr>
            <w:r>
              <w:rPr>
                <w:rFonts w:ascii="Times New Roman" w:cs="Times New Roman" w:eastAsia="Times New Roman" w:hAnsi="Times New Roman"/>
                <w:sz w:val="20"/>
                <w:szCs w:val="20"/>
                <w:color w:val="0000FF"/>
              </w:rPr>
              <w:t>311100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23"/>
        <w:spacing w:after="0"/>
        <w:rPr>
          <w:sz w:val="20"/>
          <w:szCs w:val="20"/>
          <w:color w:val="auto"/>
        </w:rPr>
      </w:pPr>
      <w:r>
        <w:rPr>
          <w:rFonts w:ascii="Times New Roman" w:cs="Times New Roman" w:eastAsia="Times New Roman" w:hAnsi="Times New Roman"/>
          <w:sz w:val="20"/>
          <w:szCs w:val="20"/>
          <w:color w:val="0000FF"/>
        </w:rPr>
        <w:t>Senior Vice President</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5"/>
                <w:szCs w:val="15"/>
                <w:b w:val="1"/>
                <w:bCs w:val="1"/>
                <w:color w:val="auto"/>
                <w:w w:val="99"/>
              </w:rPr>
              <w:t>2. Amount of Securities</w:t>
            </w:r>
          </w:p>
        </w:tc>
        <w:tc>
          <w:tcPr>
            <w:tcW w:w="1520" w:type="dxa"/>
            <w:vAlign w:val="bottom"/>
            <w:gridSpan w:val="2"/>
          </w:tcPr>
          <w:p>
            <w:pPr>
              <w:ind w:left="34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4)</w:t>
            </w:r>
          </w:p>
        </w:tc>
        <w:tc>
          <w:tcPr>
            <w:tcW w:w="152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(D) or Indirect</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20" w:type="dxa"/>
            <w:vAlign w:val="bottom"/>
            <w:gridSpan w:val="2"/>
          </w:tcPr>
          <w:p>
            <w:pPr>
              <w:ind w:left="340"/>
              <w:spacing w:after="0"/>
              <w:rPr>
                <w:sz w:val="20"/>
                <w:szCs w:val="20"/>
                <w:color w:val="auto"/>
              </w:rPr>
            </w:pPr>
            <w:r>
              <w:rPr>
                <w:rFonts w:ascii="Arial" w:cs="Arial" w:eastAsia="Arial" w:hAnsi="Arial"/>
                <w:sz w:val="15"/>
                <w:szCs w:val="15"/>
                <w:b w:val="1"/>
                <w:bCs w:val="1"/>
                <w:color w:val="auto"/>
              </w:rPr>
              <w:t>(I) (Instr. 5)</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Orindary shares</w:t>
            </w:r>
            <w:r>
              <w:rPr>
                <w:rFonts w:ascii="Times New Roman" w:cs="Times New Roman" w:eastAsia="Times New Roman" w:hAnsi="Times New Roman"/>
                <w:sz w:val="25"/>
                <w:szCs w:val="25"/>
                <w:color w:val="008000"/>
                <w:vertAlign w:val="superscript"/>
              </w:rPr>
              <w:t>(1)</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0" w:type="dxa"/>
            <w:vAlign w:val="bottom"/>
            <w:vMerge w:val="restart"/>
          </w:tcPr>
          <w:p>
            <w:pPr>
              <w:ind w:left="640"/>
              <w:spacing w:after="0"/>
              <w:rPr>
                <w:sz w:val="20"/>
                <w:szCs w:val="20"/>
                <w:color w:val="auto"/>
              </w:rPr>
            </w:pPr>
            <w:r>
              <w:rPr>
                <w:rFonts w:ascii="Times New Roman" w:cs="Times New Roman" w:eastAsia="Times New Roman" w:hAnsi="Times New Roman"/>
                <w:sz w:val="20"/>
                <w:szCs w:val="20"/>
                <w:color w:val="0000FF"/>
              </w:rPr>
              <w:t>1,051,669</w:t>
            </w:r>
          </w:p>
        </w:tc>
        <w:tc>
          <w:tcPr>
            <w:tcW w:w="920" w:type="dxa"/>
            <w:vAlign w:val="bottom"/>
            <w:vMerge w:val="restart"/>
          </w:tcPr>
          <w:p>
            <w:pPr>
              <w:ind w:left="820"/>
              <w:spacing w:after="0"/>
              <w:rPr>
                <w:sz w:val="20"/>
                <w:szCs w:val="20"/>
                <w:color w:val="auto"/>
              </w:rPr>
            </w:pPr>
            <w:r>
              <w:rPr>
                <w:rFonts w:ascii="Times New Roman" w:cs="Times New Roman" w:eastAsia="Times New Roman" w:hAnsi="Times New Roman"/>
                <w:sz w:val="20"/>
                <w:szCs w:val="20"/>
                <w:color w:val="0000FF"/>
              </w:rPr>
              <w:t>I</w:t>
            </w:r>
          </w:p>
        </w:tc>
        <w:tc>
          <w:tcPr>
            <w:tcW w:w="60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Held by Sky Harmony Ventures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Limited</w:t>
            </w: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180" w:type="dxa"/>
            <w:vAlign w:val="bottom"/>
            <w:tcBorders>
              <w:bottom w:val="single" w:sz="8" w:color="2C2C2C"/>
            </w:tcBorders>
            <w:gridSpan w:val="5"/>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180" w:type="dxa"/>
            <w:vAlign w:val="bottom"/>
            <w:tcBorders>
              <w:top w:val="single" w:sz="8" w:color="2C2C2C"/>
            </w:tcBorders>
            <w:gridSpan w:val="5"/>
          </w:tcPr>
          <w:p>
            <w:pPr>
              <w:ind w:left="2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6"/>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0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6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8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9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Amount or</w:t>
            </w:r>
          </w:p>
        </w:tc>
        <w:tc>
          <w:tcPr>
            <w:tcW w:w="98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8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00" w:type="dxa"/>
            <w:vAlign w:val="bottom"/>
            <w:vMerge w:val="continue"/>
          </w:tcPr>
          <w:p>
            <w:pPr>
              <w:spacing w:after="0"/>
              <w:rPr>
                <w:sz w:val="17"/>
                <w:szCs w:val="17"/>
                <w:color w:val="auto"/>
              </w:rPr>
            </w:pPr>
          </w:p>
        </w:tc>
        <w:tc>
          <w:tcPr>
            <w:tcW w:w="920" w:type="dxa"/>
            <w:vAlign w:val="bottom"/>
          </w:tcPr>
          <w:p>
            <w:pPr>
              <w:ind w:left="60"/>
              <w:spacing w:after="0"/>
              <w:rPr>
                <w:sz w:val="20"/>
                <w:szCs w:val="20"/>
                <w:color w:val="auto"/>
              </w:rPr>
            </w:pPr>
            <w:r>
              <w:rPr>
                <w:rFonts w:ascii="Arial" w:cs="Arial" w:eastAsia="Arial" w:hAnsi="Arial"/>
                <w:sz w:val="15"/>
                <w:szCs w:val="15"/>
                <w:b w:val="1"/>
                <w:bCs w:val="1"/>
                <w:color w:val="auto"/>
              </w:rPr>
              <w:t>Shares</w:t>
            </w: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Options</w:t>
            </w:r>
          </w:p>
        </w:tc>
        <w:tc>
          <w:tcPr>
            <w:tcW w:w="1180" w:type="dxa"/>
            <w:vAlign w:val="bottom"/>
            <w:gridSpan w:val="2"/>
            <w:vMerge w:val="restart"/>
          </w:tcPr>
          <w:p>
            <w:pPr>
              <w:jc w:val="center"/>
              <w:ind w:left="130"/>
              <w:spacing w:after="0"/>
              <w:rPr>
                <w:sz w:val="20"/>
                <w:szCs w:val="20"/>
                <w:color w:val="auto"/>
              </w:rPr>
            </w:pPr>
            <w:r>
              <w:rPr>
                <w:rFonts w:ascii="Times New Roman" w:cs="Times New Roman" w:eastAsia="Times New Roman" w:hAnsi="Times New Roman"/>
                <w:sz w:val="13"/>
                <w:szCs w:val="13"/>
                <w:color w:val="008000"/>
                <w:w w:val="92"/>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10/01/2032</w:t>
            </w: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967,500</w:t>
            </w:r>
          </w:p>
        </w:tc>
        <w:tc>
          <w:tcPr>
            <w:tcW w:w="980" w:type="dxa"/>
            <w:vAlign w:val="bottom"/>
            <w:gridSpan w:val="2"/>
            <w:vMerge w:val="restart"/>
          </w:tcPr>
          <w:p>
            <w:pPr>
              <w:ind w:left="240"/>
              <w:spacing w:after="0"/>
              <w:rPr>
                <w:sz w:val="20"/>
                <w:szCs w:val="20"/>
                <w:color w:val="auto"/>
              </w:rPr>
            </w:pPr>
            <w:r>
              <w:rPr>
                <w:rFonts w:ascii="Times New Roman" w:cs="Times New Roman" w:eastAsia="Times New Roman" w:hAnsi="Times New Roman"/>
                <w:sz w:val="20"/>
                <w:szCs w:val="20"/>
                <w:color w:val="0000FF"/>
              </w:rPr>
              <w:t>0.4796</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shares</w:t>
            </w:r>
          </w:p>
        </w:tc>
        <w:tc>
          <w:tcPr>
            <w:tcW w:w="920" w:type="dxa"/>
            <w:vAlign w:val="bottom"/>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Options</w:t>
            </w:r>
          </w:p>
        </w:tc>
        <w:tc>
          <w:tcPr>
            <w:tcW w:w="1180" w:type="dxa"/>
            <w:vAlign w:val="bottom"/>
            <w:gridSpan w:val="2"/>
            <w:vMerge w:val="restart"/>
          </w:tcPr>
          <w:p>
            <w:pPr>
              <w:jc w:val="center"/>
              <w:ind w:left="110"/>
              <w:spacing w:after="0"/>
              <w:rPr>
                <w:sz w:val="20"/>
                <w:szCs w:val="20"/>
                <w:color w:val="auto"/>
              </w:rPr>
            </w:pPr>
            <w:r>
              <w:rPr>
                <w:rFonts w:ascii="Times New Roman" w:cs="Times New Roman" w:eastAsia="Times New Roman" w:hAnsi="Times New Roman"/>
                <w:sz w:val="15"/>
                <w:szCs w:val="15"/>
                <w:color w:val="0000FF"/>
                <w:w w:val="99"/>
              </w:rPr>
              <w:t>07/01/2026</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10/01/2032</w:t>
            </w: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4"/>
              </w:rPr>
              <w:t>22,500</w:t>
            </w:r>
          </w:p>
        </w:tc>
        <w:tc>
          <w:tcPr>
            <w:tcW w:w="980" w:type="dxa"/>
            <w:vAlign w:val="bottom"/>
            <w:gridSpan w:val="2"/>
            <w:vMerge w:val="restart"/>
          </w:tcPr>
          <w:p>
            <w:pPr>
              <w:ind w:left="240"/>
              <w:spacing w:after="0"/>
              <w:rPr>
                <w:sz w:val="20"/>
                <w:szCs w:val="20"/>
                <w:color w:val="auto"/>
              </w:rPr>
            </w:pPr>
            <w:r>
              <w:rPr>
                <w:rFonts w:ascii="Times New Roman" w:cs="Times New Roman" w:eastAsia="Times New Roman" w:hAnsi="Times New Roman"/>
                <w:sz w:val="20"/>
                <w:szCs w:val="20"/>
                <w:color w:val="0000FF"/>
              </w:rPr>
              <w:t>0.4796</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shares</w:t>
            </w:r>
          </w:p>
        </w:tc>
        <w:tc>
          <w:tcPr>
            <w:tcW w:w="920" w:type="dxa"/>
            <w:vAlign w:val="bottom"/>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Options</w:t>
            </w:r>
          </w:p>
        </w:tc>
        <w:tc>
          <w:tcPr>
            <w:tcW w:w="1180" w:type="dxa"/>
            <w:vAlign w:val="bottom"/>
            <w:gridSpan w:val="2"/>
            <w:vMerge w:val="restart"/>
          </w:tcPr>
          <w:p>
            <w:pPr>
              <w:jc w:val="center"/>
              <w:ind w:left="130"/>
              <w:spacing w:after="0"/>
              <w:rPr>
                <w:sz w:val="20"/>
                <w:szCs w:val="20"/>
                <w:color w:val="auto"/>
              </w:rPr>
            </w:pPr>
            <w:r>
              <w:rPr>
                <w:rFonts w:ascii="Times New Roman" w:cs="Times New Roman" w:eastAsia="Times New Roman" w:hAnsi="Times New Roman"/>
                <w:sz w:val="13"/>
                <w:szCs w:val="13"/>
                <w:color w:val="008000"/>
                <w:w w:val="92"/>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10/01/2032</w:t>
            </w: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1,000,000</w:t>
            </w:r>
          </w:p>
        </w:tc>
        <w:tc>
          <w:tcPr>
            <w:tcW w:w="980" w:type="dxa"/>
            <w:vAlign w:val="bottom"/>
            <w:gridSpan w:val="2"/>
            <w:vMerge w:val="restart"/>
          </w:tcPr>
          <w:p>
            <w:pPr>
              <w:ind w:left="240"/>
              <w:spacing w:after="0"/>
              <w:rPr>
                <w:sz w:val="20"/>
                <w:szCs w:val="20"/>
                <w:color w:val="auto"/>
              </w:rPr>
            </w:pPr>
            <w:r>
              <w:rPr>
                <w:rFonts w:ascii="Times New Roman" w:cs="Times New Roman" w:eastAsia="Times New Roman" w:hAnsi="Times New Roman"/>
                <w:sz w:val="20"/>
                <w:szCs w:val="20"/>
                <w:color w:val="0000FF"/>
              </w:rPr>
              <w:t>0.4796</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shares</w:t>
            </w:r>
          </w:p>
        </w:tc>
        <w:tc>
          <w:tcPr>
            <w:tcW w:w="920" w:type="dxa"/>
            <w:vAlign w:val="bottom"/>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Options</w:t>
            </w:r>
          </w:p>
        </w:tc>
        <w:tc>
          <w:tcPr>
            <w:tcW w:w="1180" w:type="dxa"/>
            <w:vAlign w:val="bottom"/>
            <w:gridSpan w:val="2"/>
            <w:vMerge w:val="restart"/>
          </w:tcPr>
          <w:p>
            <w:pPr>
              <w:jc w:val="center"/>
              <w:ind w:left="130"/>
              <w:spacing w:after="0"/>
              <w:rPr>
                <w:sz w:val="20"/>
                <w:szCs w:val="20"/>
                <w:color w:val="auto"/>
              </w:rPr>
            </w:pPr>
            <w:r>
              <w:rPr>
                <w:rFonts w:ascii="Times New Roman" w:cs="Times New Roman" w:eastAsia="Times New Roman" w:hAnsi="Times New Roman"/>
                <w:sz w:val="13"/>
                <w:szCs w:val="13"/>
                <w:color w:val="008000"/>
                <w:w w:val="92"/>
              </w:rPr>
              <w:t>(4)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10/01/2032</w:t>
            </w: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1,108,000</w:t>
            </w:r>
          </w:p>
        </w:tc>
        <w:tc>
          <w:tcPr>
            <w:tcW w:w="980" w:type="dxa"/>
            <w:vAlign w:val="bottom"/>
            <w:gridSpan w:val="2"/>
            <w:vMerge w:val="restart"/>
          </w:tcPr>
          <w:p>
            <w:pPr>
              <w:ind w:left="240"/>
              <w:spacing w:after="0"/>
              <w:rPr>
                <w:sz w:val="20"/>
                <w:szCs w:val="20"/>
                <w:color w:val="auto"/>
              </w:rPr>
            </w:pPr>
            <w:r>
              <w:rPr>
                <w:rFonts w:ascii="Times New Roman" w:cs="Times New Roman" w:eastAsia="Times New Roman" w:hAnsi="Times New Roman"/>
                <w:sz w:val="20"/>
                <w:szCs w:val="20"/>
                <w:color w:val="0000FF"/>
              </w:rPr>
              <w:t>0.4796</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shares</w:t>
            </w:r>
          </w:p>
        </w:tc>
        <w:tc>
          <w:tcPr>
            <w:tcW w:w="920" w:type="dxa"/>
            <w:vAlign w:val="bottom"/>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Options</w:t>
            </w:r>
          </w:p>
        </w:tc>
        <w:tc>
          <w:tcPr>
            <w:tcW w:w="1180" w:type="dxa"/>
            <w:vAlign w:val="bottom"/>
            <w:gridSpan w:val="2"/>
            <w:vMerge w:val="restart"/>
          </w:tcPr>
          <w:p>
            <w:pPr>
              <w:jc w:val="center"/>
              <w:ind w:left="130"/>
              <w:spacing w:after="0"/>
              <w:rPr>
                <w:sz w:val="20"/>
                <w:szCs w:val="20"/>
                <w:color w:val="auto"/>
              </w:rPr>
            </w:pPr>
            <w:r>
              <w:rPr>
                <w:rFonts w:ascii="Times New Roman" w:cs="Times New Roman" w:eastAsia="Times New Roman" w:hAnsi="Times New Roman"/>
                <w:sz w:val="13"/>
                <w:szCs w:val="13"/>
                <w:color w:val="008000"/>
                <w:w w:val="92"/>
              </w:rPr>
              <w:t>(5)</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10/01/2032</w:t>
            </w:r>
          </w:p>
        </w:tc>
        <w:tc>
          <w:tcPr>
            <w:tcW w:w="180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1,000,000</w:t>
            </w:r>
          </w:p>
        </w:tc>
        <w:tc>
          <w:tcPr>
            <w:tcW w:w="980" w:type="dxa"/>
            <w:vAlign w:val="bottom"/>
            <w:gridSpan w:val="2"/>
            <w:vMerge w:val="restart"/>
          </w:tcPr>
          <w:p>
            <w:pPr>
              <w:ind w:left="240"/>
              <w:spacing w:after="0"/>
              <w:rPr>
                <w:sz w:val="20"/>
                <w:szCs w:val="20"/>
                <w:color w:val="auto"/>
              </w:rPr>
            </w:pPr>
            <w:r>
              <w:rPr>
                <w:rFonts w:ascii="Times New Roman" w:cs="Times New Roman" w:eastAsia="Times New Roman" w:hAnsi="Times New Roman"/>
                <w:sz w:val="20"/>
                <w:szCs w:val="20"/>
                <w:color w:val="0000FF"/>
              </w:rPr>
              <w:t>0.0001</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shares</w:t>
            </w:r>
          </w:p>
        </w:tc>
        <w:tc>
          <w:tcPr>
            <w:tcW w:w="920" w:type="dxa"/>
            <w:vAlign w:val="bottom"/>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Immediately prior to the completion of the Issuer's initial public offering, each ordinary shares will be redesignated as Class A ordinary shares on a one-for-one basis.</w:t>
      </w:r>
    </w:p>
    <w:p>
      <w:pPr>
        <w:spacing w:after="0" w:line="52" w:lineRule="exact"/>
        <w:rPr>
          <w:rFonts w:ascii="Times New Roman" w:cs="Times New Roman" w:eastAsia="Times New Roman" w:hAnsi="Times New Roman"/>
          <w:sz w:val="15"/>
          <w:szCs w:val="15"/>
          <w:color w:val="008000"/>
        </w:rPr>
      </w:pPr>
    </w:p>
    <w:p>
      <w:pPr>
        <w:ind w:left="40" w:right="4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options were granted to the reporting person pursuant to the Issuer's 2023 Plan on July 25, 2023. All such options will become exercisable upon the completion of the Issuer's initial public offering.</w:t>
      </w:r>
    </w:p>
    <w:p>
      <w:pPr>
        <w:spacing w:after="0" w:line="17" w:lineRule="exact"/>
        <w:rPr>
          <w:rFonts w:ascii="Times New Roman" w:cs="Times New Roman" w:eastAsia="Times New Roman" w:hAnsi="Times New Roman"/>
          <w:sz w:val="15"/>
          <w:szCs w:val="15"/>
          <w:color w:val="008000"/>
        </w:rPr>
      </w:pPr>
    </w:p>
    <w:p>
      <w:pPr>
        <w:ind w:left="40" w:right="3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options were granted to the reporting person pursuant to the Issuer's 2023 Plan on July 25, 2023 and subject to 4-year service based vesting schedule, with 25% vesting each year.</w:t>
      </w:r>
    </w:p>
    <w:p>
      <w:pPr>
        <w:spacing w:after="0" w:line="17" w:lineRule="exact"/>
        <w:rPr>
          <w:rFonts w:ascii="Times New Roman" w:cs="Times New Roman" w:eastAsia="Times New Roman" w:hAnsi="Times New Roman"/>
          <w:sz w:val="15"/>
          <w:szCs w:val="15"/>
          <w:color w:val="008000"/>
        </w:rPr>
      </w:pPr>
    </w:p>
    <w:p>
      <w:pPr>
        <w:ind w:left="40" w:right="1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options were granted to the reporting person pursuant to the Issuer's 2023 Plan on March 29, 2024 and subject to 4-year service based vesting schedule, with 25% vesting each year.</w:t>
      </w:r>
    </w:p>
    <w:p>
      <w:pPr>
        <w:spacing w:after="0" w:line="17" w:lineRule="exact"/>
        <w:rPr>
          <w:rFonts w:ascii="Times New Roman" w:cs="Times New Roman" w:eastAsia="Times New Roman" w:hAnsi="Times New Roman"/>
          <w:sz w:val="15"/>
          <w:szCs w:val="15"/>
          <w:color w:val="008000"/>
        </w:rPr>
      </w:pPr>
    </w:p>
    <w:p>
      <w:pPr>
        <w:ind w:left="40" w:right="3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options were granted to the reporting person pursuant to the Issuer's 2023 Plan on May 26, 2026 and will become exercisable upon the completion of the Issuer's initial public offering.</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Gongwei Zhang</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06/24/2026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90"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ectPr>
          <w:pgSz w:w="11900" w:h="16838" w:orient="portrait"/>
          <w:cols w:equalWidth="0" w:num="1">
            <w:col w:w="10940"/>
          </w:cols>
          <w:pgMar w:left="480" w:top="230" w:right="479" w:bottom="0" w:gutter="0" w:footer="0" w:header="0"/>
          <w:type w:val="continuous"/>
        </w:sectPr>
      </w:pPr>
    </w:p>
    <w:bookmarkStart w:id="1" w:name="page2"/>
    <w:bookmarkEnd w:id="1"/>
    <w:p>
      <w:pPr>
        <w:spacing w:after="0" w:line="277"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37314" TargetMode="External"/><Relationship Id="rId11" Type="http://schemas.openxmlformats.org/officeDocument/2006/relationships/hyperlink" Target="http://www.sec.gov/cgi-bin/browse-edgar?action=getcompany&amp;CIK=00019660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2026-06-24T17:56:49Z</dcterms:created>
  <dcterms:modified xsi:type="dcterms:W3CDTF">2026-06-24T17:56:49Z</dcterms:modified>
</cp:coreProperties>
</file>