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DSC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US$0.0001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API (Hong Kong) Investment Limited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88,188,400.00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88,188,400.00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88,188,400.00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For rows 5, 7 and 9: Represents 88,188,400 Class A ordinary shares held by API (Hong Kong) Investment Limited, a limited liability company incorporated in Hong Kong. (2) For row 11: The percentage of the class of securities beneficially owned by each reporting person is calculated based on a total of 670,157,244 Class A ordinary shares issued and outstanding on an as-converted basis immediately after the completion of the offering of the Issuer, as reported in the Issuer's prospectus on Form 424B4 filed with the U.S. Securities and Exchange Commission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Ant Group Co., Ltd.</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123,482,500.00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123,482,500.00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123,482,500.00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18.4 %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For rows 5, 7 and 9: Represents: (i) 88,188,400 Class A ordinary shares held by API (Hong Kong) Investment Limited, a limited liability company incorporated in Hong Kong. API (Hong Kong) Investment Limited is wholly owned by Shanghai Yunju Venture Capital Co., Ltd., a limited liability company incorporated in the PRC, which in turn is wholly owned by Ant Group Co., Ltd., a limited liability company incorporated in the PRC, and (ii) 1,764,705 ADSs held by Prospera Investment (Singapore) Pte. Ltd., a private company limited by shares incorporated in Singapore, each ADS representing 20 Class A ordinary shares. Prospera Investment (Singapore) Pte. Ltd. is wholly owned by Tianjin Ninghui Management Consulting Co., Ltd., a limited liability company incorporated in the PRC, which is in turn wholly owned by Ant Group Co., Ltd. Ant Group Co., Ltd.'s board consists of nine individuals, namely Xiandong JING, Xinyi HAN, Joe TSAI, Toby Hong XU, Laura May-Lung CHA, Hongjiang ZHANG, Chong-En BAI, Xiaopeng HE and Patrick TSANG. (2) For row 11: The percentage of the class of securities beneficially owned by each reporting person is calculated based on a total of 670,157,244 Class A ordinary shares issued and outstanding on an as-converted basis immediately after the completion of the offering of the Issuer, as reported in the Issuer's prospectus on Form 424B4 filed with the U.S. Securities and Exchange Commission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Shanghai Yunju Venture Capital Co.,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88,188,400.00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88,188,400.00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88,188,400.00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For rows 5, 7 and 9: Represents 88,188,400 Class A ordinary shares held by API (Hong Kong) Investment Limited, a limited liability company incorporated in Hong Kong. API (Hong Kong) Investment Limited is wholly owned by Shanghai Yunju Venture Capital Co., Ltd., a limited liability company incorporated in the PRC. (2) For row 11: The percentage of the class of securities beneficially owned by each reporting person is calculated based on a total of 670,157,244 Class A ordinary shares issued and outstanding on an as-converted basis immediately after the completion of the offering of the Issuer, as reported in the Issuer's prospectus on Form 424B4 filed with the U.S. Securities and Exchange Commission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Tianjin Ninghui Management Consulting Co.,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35,294,100.00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35,294,100.00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35,294,100.00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For rows 5, 7 and 9: Represents 1,764,705 ADSs held by Prospera Investment (Singapore) Pte. Ltd., a private company limited by shares incorporated in Singapore, each ADS representing 20 Class A ordinary shares. Prospera Investment (Singapore) Pte. Ltd. is wholly owned by Tianjin Ninghui Management Consulting Co., Ltd. (2) For row 11: The percentage of the class of securities beneficially owned by each reporting person is calculated based on a total of 670,157,244 Class A ordinary shares issued and outstanding on an as-converted basis immediately after the completion of the offering of the Issuer, as reported in the Issuer's prospectus on Form 424B4 filed with the U.S. Securities and Exchange Commission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Prospera Investment (Singapore) Pte.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35,294,100.00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35,294,100.00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35,294,100.00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For rows 5, 7 and 9: Represents 1,764,705 ADSs held by Prospera Investment (Singapore) Pte. Ltd., a private company limited by shares incorporated in Singapore, each ADS representing 20 Class A ordinary shares. (2) For row 11: The percentage of the class of securities beneficially owned by each reporting person is calculated based on a total of 670,157,244 Class A ordinary shares issued and outstanding on an as-converted basis immediately after the completion of the offering of the Issuer, as reported in the Issuer's prospectus on Form 424B4 filed with the U.S. Securities and Exchange Commission on June 26,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DSC Holdings Ltd.</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No. 2 Wangjiang North Road, Room 148, Zhongshan Community, Baiyun Street, Jinhua City, F4 322103</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Ant Group Co., Ltd. ("Ant Group"), a company organized under the law of the People's Republic of China; (ii) Shanghai Yunju Venture Capital Co., Ltd. ("Shanghai Yunju"), a company organized under the law of the People's Republic of China and a wholly-owned subsidiary of Ant Group; (iii) API (Hong Kong) Investment Limited ("API"), a company organized under the law of Hong Kong Special Administrative Region and a wholly-owned subsidiary of Shanghai Yunju; (iv) Tianjin Ninghui Management Consulting Co., Ltd. ("Tianjin Ninghui"), a company organized under the law of the People's Republic of China and a wholly-owned subsidiary of Ant Group; and (v) Prospera Investment (Singapore) Pte. Ltd. ("Prospera"), a company organized under the law of Singapore and a wholly-owned subsidiary of Tianjin Ninghui.</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The address of the principal business office of Ant Group is A Space, No. 569 Xixi Road, Xihu District, Hangzhou, China. (ii) The address of the principal business office of Shanghai Yunju is S Space, No.447 North NanQuan Road, Pudong District, Shanghai, China. (iii) The address of the principal business office of API is 23/F, Tower One, Times Square, 1 Matheson ST, Causeway Bay, Hong Kong. (iv) The address of the registered office of Tianjin Ninghui is Unit 1-1-916, South Zone of Financial and Trade Center, No. 6975 Yazhou Road, China (Tianjin) Pilot Free Trade Zone (Dongjiang Comprehensive Bonded Zone), Tianjin, China. (v) The address of the principal business office of Prospera is 128 Beach Road, #20-01 Guoco Midtown Office, Singapore.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(i) Ant Group - People's Republic of China (ii) Shanghai Yunju - People's Republic of China (iii) API - Hong Kong Special Administrative Region (iv) Tianjin Ninghui - People's Republic of China (v) Prospera - Singapore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US$0.0001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Ant Group: 123,482,500 Shanghai Yunju: 88,188,400 API: 88,188,400 Tianjin Ninghui: 35,294,100 Prospera: 35,294,100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Ant Group: 18.4% Shanghai Yunju: 13.2% API: 13.2% Tianjin Ninghui: 5.3% Prospera: 5.3%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Ant Group: 123,482,500 Shanghai Yunju: 88,188,400 API: 88,188,400 Tianjin Ninghui: 35,294,100 Prospera: 35,294,100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Ant Group: 0 Shanghai Yunju: 0 API: 0 Tianjin Ninghui: 0 Prospera: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Ant Group: 123,482,500 Shanghai Yunju: 88,188,400 API: 88,188,400 Tianjin Ninghui: 35,294,100 Prospera: 35,294,100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Ant Group: 0 Shanghai Yunju: 0 API: 0 Tianjin Ninghui: 0 Prospera: 0 (1) As of June 30, 2026, API held 88,188,400 of the Issuer's Class A ordinary shares. API is wholly owned by Shanghai Yunju, which is in turn wholly owned by Ant Group. Accordingly, each of Shanghai Yunju and Ant Group may be deemed to beneficially own the 88,188,400 Class A ordinary shares held by API. In addition, Prospera held 1,764,705 ADSs as of June 30, 2026, each ADS representing 20 Class A ordinary shares of the Issuer. Prospera is wholly owned by Tianjin Ninghui, which is in turn wholly owned by Ant Group. Accordingly, each of Tianjin Ninghui and Ant Group may be deemed to beneficially own the 35,294,100 Class A ordinary shares represented by the ADSs held by Prospera. As a result, Ant Group may be deemed to beneficially own an aggregate of 123,482,500 Class A ordinary shares of the Issuer. (2) The percentage of the class of securities beneficially owned by each reporting person is calculated based on 670,157,244 Class A ordinary shares of the Issuer issued and outstanding on an as-converted basis immediately after the completion of the offering of the Issuer, as reported in the Issuer's prospectus on Form 424B4 filed with the U.S. Securities and Exchange Commission on June 26,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API (Hong Kong) Investment Limited</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Richard Chih-Chiu LIN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Richard Chih-Chiu LIN/Director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Ant Group Co., Ltd.</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3"/>
        <w:gridCol w:w="4162"/>
      </w:tblGrid>
      <w:tr>
        <w:trPr/>
        <w:tc>
          <w:tcPr>
            <w:tcW w:w="60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Xinyi HAN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Xinyi HAN/Legal Representative</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Shanghai Yunju Venture Capital Co., Ltd.</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0"/>
        <w:gridCol w:w="4155"/>
      </w:tblGrid>
      <w:tr>
        <w:trPr/>
        <w:tc>
          <w:tcPr>
            <w:tcW w:w="60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Gang JI</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Gang JI/Legal Representative</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7"/>
        <w:gridCol w:w="5098"/>
      </w:tblGrid>
      <w:tr>
        <w:trPr/>
        <w:tc>
          <w:tcPr>
            <w:tcW w:w="5107" w:type="dxa"/>
            <w:tcBorders/>
            <w:vAlign w:val="center"/>
          </w:tcPr>
          <w:p>
            <w:pPr>
              <w:pStyle w:val="TableContents"/>
              <w:bidi w:val="0"/>
              <w:spacing w:before="0" w:after="0"/>
              <w:jc w:val="left"/>
              <w:rPr/>
            </w:pPr>
            <w:r>
              <w:rPr/>
              <w:t> </w:t>
            </w:r>
          </w:p>
          <w:tbl>
            <w:tblPr>
              <w:tblW w:w="4981" w:type="dxa"/>
              <w:jc w:val="left"/>
              <w:tblInd w:w="0" w:type="dxa"/>
              <w:tblLayout w:type="fixed"/>
              <w:tblCellMar>
                <w:top w:w="28" w:type="dxa"/>
                <w:left w:w="28" w:type="dxa"/>
                <w:bottom w:w="28" w:type="dxa"/>
                <w:right w:w="28" w:type="dxa"/>
              </w:tblCellMar>
            </w:tblPr>
            <w:tblGrid>
              <w:gridCol w:w="4981"/>
            </w:tblGrid>
            <w:tr>
              <w:trPr/>
              <w:tc>
                <w:tcPr>
                  <w:tcW w:w="4981" w:type="dxa"/>
                  <w:tcBorders/>
                  <w:vAlign w:val="center"/>
                </w:tcPr>
                <w:p>
                  <w:pPr>
                    <w:pStyle w:val="TableContents"/>
                    <w:bidi w:val="0"/>
                    <w:spacing w:before="0" w:after="0"/>
                    <w:jc w:val="left"/>
                    <w:rPr/>
                  </w:pPr>
                  <w:r>
                    <w:rPr/>
                    <w:t>Tianjin Ninghui Management Consulting Co., Ltd.</w:t>
                  </w:r>
                </w:p>
              </w:tc>
            </w:tr>
          </w:tbl>
          <w:p>
            <w:pPr>
              <w:pStyle w:val="TableContents"/>
              <w:bidi w:val="0"/>
              <w:spacing w:before="0" w:after="283"/>
              <w:jc w:val="left"/>
              <w:rPr/>
            </w:pPr>
            <w:r>
              <w:rPr/>
            </w:r>
          </w:p>
        </w:tc>
        <w:tc>
          <w:tcPr>
            <w:tcW w:w="50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0"/>
        <w:gridCol w:w="4155"/>
      </w:tblGrid>
      <w:tr>
        <w:trPr/>
        <w:tc>
          <w:tcPr>
            <w:tcW w:w="60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Gang JI</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Gang JI/Legal Representative</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155"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Prospera Investment (Singapore) Pte. Ltd.</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Richard Chih-Chiu LIN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Richard Chih-Chiu LIN/Director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 w:name="tm2622970d1_ex99-1.htm"/>
      <w:bookmarkStart w:id="33" w:name="kstm2622970d1_ex991"/>
      <w:bookmarkEnd w:id="32"/>
      <w:bookmarkEnd w:id="3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JOINT FILING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provisions of Rule 13d-1(k) under the Securities Exchange Act of 1934, as amended, the undersigned hereby agree to the joint filing on behalf of each of them of a Statement on Schedule 13G (including additional amendments thereto) with respect to the Class A ordinary shares, US$0.0001 par value per share, of DSC Holdings Ltd., an exempted company incorporated under the laws of the Cayman Islands. This Joint Filing Agreement shall be filed as an Exhibit to such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19, 2026</w:t>
      </w:r>
    </w:p>
    <w:p>
      <w:pPr>
        <w:pStyle w:val="TextBody"/>
        <w:bidi w:val="0"/>
        <w:spacing w:before="0" w:after="0"/>
        <w:ind w:left="0" w:right="0" w:hanging="0"/>
        <w:jc w:val="left"/>
        <w:rPr>
          <w:caps w:val="false"/>
          <w:smallCaps w:val="false"/>
        </w:rPr>
      </w:pPr>
      <w:r>
        <w:rPr>
          <w:caps w:val="false"/>
          <w:smallCaps w:val="false"/>
        </w:rPr>
        <w:t> </w:t>
      </w:r>
    </w:p>
    <w:tbl>
      <w:tblPr>
        <w:tblW w:w="4339" w:type="dxa"/>
        <w:jc w:val="left"/>
        <w:tblInd w:w="0" w:type="dxa"/>
        <w:tblLayout w:type="fixed"/>
        <w:tblCellMar>
          <w:top w:w="0" w:type="dxa"/>
          <w:left w:w="0" w:type="dxa"/>
          <w:bottom w:w="0" w:type="dxa"/>
          <w:right w:w="0" w:type="dxa"/>
        </w:tblCellMar>
      </w:tblPr>
      <w:tblGrid>
        <w:gridCol w:w="75"/>
        <w:gridCol w:w="848"/>
        <w:gridCol w:w="3416"/>
      </w:tblGrid>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Ant Group Co., Ltd.</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Xinyi HAN</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Xinyi HAN</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Representative</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Shanghai Yunju Venture Capital Co., Ltd.</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Gang JI</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Gang JI</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Representative</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API (Hong Kong) Investment Limited</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Chih-Chiu LIN</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Chih-Chiu LIN</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Tianjin Ninghui Management Consulting Co., Ltd.</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Gang JI</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Gang JI</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Representative</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Prospera Investment (Singapore) Pte. Ltd.</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Chih-Chiu LIN</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Chih-Chiu LIN</w:t>
            </w:r>
          </w:p>
        </w:tc>
      </w:tr>
      <w:tr>
        <w:trPr/>
        <w:tc>
          <w:tcPr>
            <w:tcW w:w="7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2583</Words>
  <Characters>13625</Characters>
  <CharactersWithSpaces>16163</CharactersWithSpaces>
  <Paragraphs>469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