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DSC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TMT General Partner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94,171,764.00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94,171,764.00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94,171,764.00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(i) 63,860,687 Class A ordinary shares held by Morningside China TMT Fund II, L.P., an exempted limited partnership organized under the laws of Cayman Islands; (ii) 4,409,420 Class A ordinary shares held by Morningside China TMT Top Up Fund, L.P., an exempted limited partnership organized under the laws of Cayman Islands; and (iii) 25,901,657 Class A ordinary shares held by MSVC SPF I, L.P., an exempted limited partnership established under the laws of Cayman Islands. Each of Morningside China TMT Fund II, L.P. and Morningside China TMT Top Up Fund, L.P. is controlled by Morningside China TMT GP II, L.P., their general partner. Morningside China TMT GP II, L.P. is controlled by TMT General Partner Ltd., its general partner. MSVC SPF I, L.P. is controlled by MSVC SPF I GP, L.P., its general partner. MSVC SPF I GP, L.P. is controlled by TMT General Partner Ltd., its general partner. TMT General Partner Ltd. is controlled by its board consisting of three individuals, including Jianming Shi, Qin Liu and Gerald Lokchung Chan, who have the voting and dispositive powers over the shares held by Morningside China TMT Fund II, L.P., Morningside China TMT Top Up Fund. L.P. and MSVC SPF I, L.P. (2) For row 11: The ownership percentage of the Reporting Person is calculated based on a total of 670,157,244 Class A ordinary shares issued and outstanding on an as-converted basis immediately after the completion of the offering of the Issuer, assuming that the underwriters do not exercise their option to purchase additional ADSs as the case may be, as reported in the registrant's prospectus on Form 424B4 filed with the Securities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Morningside China TMT GP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68,270,107.00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68,270,107.00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68,270,107.00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(i) 63,860,687 Class A ordinary shares held by Morningside China TMT Fund II, L.P., an exempted limited partnership organized under the laws of Cayman Islands and (ii) 4,409,420 Class A ordinary shares held by Morningside China TMT Top Up Fund, L.P., an exempted limited partnership organized under the laws of Cayman Islands. Each of Morningside China TMT Fund II, L.P. and Morningside China TMT Top Up Fund, L.P. is controlled by Morningside China TMT GP II, L.P., their general partner. Morningside China TMT GP II, L.P. is controlled by TMT General Partner Ltd., its general partner. (2) For row 11: The ownership percentage of the Reporting Person is calculated based on a total of 670,157,244 Class A ordinary shares issued and outstanding on an as-converted basis immediately after the completion of the offering of the Issuer, assuming that the underwriters do not exercise their option to purchase additional ADSs as the case may be, as reported in the registrant's prospectus on Form 424B4 filed with the Securities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Morningside China TMT Fund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63,860,687.00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63,860,687.00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63,860,687.00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63,860,687 Class A ordinary shares held by Morningside China TMT Fund II, L.P., an exempted limited partnership organized under the laws of Cayman Islands. Morningside China TMT Fund II, L.P. is controlled by Morningside China TMT GP II, L.P., its general partner. Morningside China TMT GP II, L.P. is controlled by TMT General Partner Ltd., its general partner. (2) For row 11: The ownership percentage of the Reporting Person is calculated based on a total of 670,157,244 Class A ordinary shares issued and outstanding on an as-converted basis immediately after the completion of the offering of the Issuer, assuming that the underwriters do not exercise their option to purchase additional ADSs as the case may be, as reported in the registrant's prospectus on Form 424B4 filed with the Securities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Morningside China TMT Top Up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4,409,420.00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4,409,420.00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4,409,420.00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4,409,420 Class A ordinary shares held by Morningside China TMT Top Up Fund, L.P., an exempted limited partnership organized under the laws of Cayman Islands. Morningside China TMT Top Up Fund, L.P. is controlled by Morningside China TMT GP II, L.P., its general partner. Morningside China TMT GP II, L.P. is controlled by TMT General Partner Ltd., its general partner. (2) For row 11: The ownership percentage of the Reporting Person is calculated based on a total of 670,157,244 Class A ordinary shares issued and outstanding on an as-converted basis immediately after the completion of the offering of the Issuer, assuming that the underwriters do not exercise their option to purchase additional ADSs as the case may be, as reported in the registrant's prospectus on Form 424B4 filed with the Securities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MSVC SPF I GP,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25,901,657.00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25,901,657.00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25,901,657.00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25,901,657 Class A ordinary shares held by MSVC SPF I, L.P., an exempted limited partnership organized under the laws of Cayman Islands. MSVC SPF I, L.P. is controlled by MSVC SPF I GP, L.P., its general partner. MSVC SPF I GP, L.P. is controlled by TMT General Partner Ltd., its general partner. (2) For row 11: The ownership percentage of the Reporting Person is calculated based on a total of 670,157,244 Class A ordinary shares issued and outstanding on an as-converted basis immediately after the completion of the offering of the Issuer, assuming that the underwriters do not exercise their option to purchase additional ADSs as the case may be, as reported in the registrant's prospectus on Form 424B4 filed with the Securities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MSVC SPF 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25,901,657.00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25,901,657.00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25,901,657.00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25,901,657 Class A ordinary shares held by MSVC SPF I, L.P., an exempted limited partnership organized under the laws of Cayman Islands. MSVC SPF I, L.P. is controlled by MSVC SPF I GP, L.P., its general partner. MSVC SPF I GP, L.P. is controlled by TMT General Partner Ltd., its general partner. (2) For row 11: The ownership percentage of the Reporting Person is calculated based on a total of 670,157,244 Class A ordinary shares issued and outstanding on an as-converted basis immediately after the completion of the offering of the Issuer, assuming that the underwriters do not exercise their option to purchase additional ADSs as the case may be, as reported in the registrant's prospectus on Form 424B4 filed with the Securities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DSC Holdings Ltd.</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No. 2 Wangjiang North Road, Room 148, Zhongshan Community, Baiyun Street, Jinhua City, F4 322103</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followings is hereinafter individually referred to as a "Reporting Person" and collectively as the "Reporting Persons." This statement is filed on behalf of: (1) TMT General Partner Ltd. (2) Morningside China TMT GP II, L.P. (3) Morningside China TMT Fund II, L.P. (4) Morningside China TMT Top Up Fund, L.P. (5) MSVC SPF I GP, L.P. (6) MSVC SPF I, L.P.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the Reporting Person is c/o Suite 905-6, 9th Floor, ICBC Tower, Three Garden Road, Hong Kong.</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Persons is organized under the laws of Cayman Islands.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is set forth in Row 9 of the cover page for each Reporting Person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4(b) is set forth in Row 11 of the cover page for each Reporting Person and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4(c)(i) is set forth in Row 5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4(c)(ii) is set forth in Row 6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4(c)(iii) is set forth in Row 7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4(c)(iv) is set forth in Row 8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TMT General Partner Ltd.</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LIU, Qin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LIU, Qin/Director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Morningside China TMT GP II,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LIU, Qin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TMT General Partner Ltd., as its general partner, LIU, Qin/Director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Morningside China TMT Fund II, L.P.</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LIU, Qin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Morningside China TMT GP II, L.P., as its general partner, TMT General Partner Ltd., as its general partner, LIU, Qin/Director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Morningside China TMT Top Up Fund, L.P.</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LIU, Qin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Morningside China TMT GP II, L.P., as its general partner, TMT General Partner Ltd., as its general partner, LIU, Qin/Director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MSVC SPF I GP, L.P.</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LIU, Qin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TMT General Partner Ltd., as its general partner, LIU, Qin/Director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MSVC SPF I, L.P.</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LIU, Qin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MSVC SPF I GP, L.P., as its general partner, TMT General Partner Ltd., as its general partner, LIU, Qin/Director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9106" w:type="dxa"/>
        <w:jc w:val="left"/>
        <w:tblInd w:w="0" w:type="dxa"/>
        <w:tblLayout w:type="fixed"/>
        <w:tblCellMar>
          <w:top w:w="28" w:type="dxa"/>
          <w:left w:w="28" w:type="dxa"/>
          <w:bottom w:w="28" w:type="dxa"/>
          <w:right w:w="28" w:type="dxa"/>
        </w:tblCellMar>
      </w:tblPr>
      <w:tblGrid>
        <w:gridCol w:w="9106"/>
      </w:tblGrid>
      <w:tr>
        <w:trPr/>
        <w:tc>
          <w:tcPr>
            <w:tcW w:w="9106" w:type="dxa"/>
            <w:tcBorders/>
            <w:vAlign w:val="center"/>
          </w:tcPr>
          <w:p>
            <w:pPr>
              <w:pStyle w:val="TableContents"/>
              <w:bidi w:val="0"/>
              <w:spacing w:before="0" w:after="283"/>
              <w:jc w:val="center"/>
              <w:rPr>
                <w:b/>
              </w:rPr>
            </w:pPr>
            <w:r>
              <w:rPr>
                <w:b/>
              </w:rPr>
              <w:t xml:space="preserve">Exhibit Information </w:t>
            </w:r>
          </w:p>
        </w:tc>
      </w:tr>
      <w:tr>
        <w:trPr/>
        <w:tc>
          <w:tcPr>
            <w:tcW w:w="9106" w:type="dxa"/>
            <w:tcBorders/>
            <w:vAlign w:val="center"/>
          </w:tcPr>
          <w:p>
            <w:pPr>
              <w:pStyle w:val="TableContents"/>
              <w:bidi w:val="0"/>
              <w:spacing w:before="0" w:after="283"/>
              <w:jc w:val="left"/>
              <w:rPr/>
            </w:pPr>
            <w:r>
              <w:rPr/>
              <w:t>Exhibit 99.1: Joint Filing Agreement dated July 13, 2026 by and among the Reporting Persons</w:t>
            </w:r>
          </w:p>
        </w:tc>
      </w:tr>
    </w:tbl>
    <w:p>
      <w:pPr>
        <w:pStyle w:val="TextBody"/>
        <w:bidi w:val="0"/>
        <w:jc w:val="left"/>
        <w:rPr/>
      </w:pPr>
      <w:bookmarkStart w:id="36" w:name="tm2620036d1_ex99-1.htm"/>
      <w:bookmarkStart w:id="37" w:name="kstm2620036d1_ex991"/>
      <w:bookmarkEnd w:id="36"/>
      <w:bookmarkEnd w:id="3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undersigned hereby agree that a single Schedule 13G (or any amendment thereto) relating to the Class A ordinary shares of DSC Holdings Ltd. shall be filed on behalf of each of the undersigned and that this Agreement shall be filed as an exhibit to such Schedule 13G. Each of the undersigned acknowledges that each shall be responsible for the timely filing of amendments with respect to information concerning such undersigned reporting person, and for the completeness and accuracy of the information concerning such undersigned reporting person, contained therein, but shall not be responsible for the completeness and accuracy of the information concerning the others, except to the extent that such reporting person knows or has reason to believe that such information is inaccurate. This Agreement may be executed in any number of counterparts and all of such counterparts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13, 2026</w:t>
      </w:r>
    </w:p>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320"/>
        <w:gridCol w:w="9125"/>
      </w:tblGrid>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TMT General Partner Ltd.</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LIU, Qin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Morningside China TMT GP II, L.P.</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TMT General Partner Ltd., as its general partner</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Morningside China TMT Fund II, L.P.</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Morningside China TMT GP II, L.P., as its general partner, TMT General Partner Ltd., as its general partner</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Morningside China TMT Top Up Fund, L.P.</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Morningside China TMT GP II, L.P., as its general partner, TMT General Partner Ltd., as its general partner</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MSVC SPF I GP, L.P.</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TMT General Partner Ltd., as its general partner</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MSVC SPF I, L.P.</w:t>
            </w:r>
          </w:p>
        </w:tc>
      </w:tr>
      <w:tr>
        <w:trPr/>
        <w:tc>
          <w:tcPr>
            <w:tcW w:w="75" w:type="dxa"/>
            <w:tcBorders/>
            <w:vAlign w:val="center"/>
          </w:tcPr>
          <w:p>
            <w:pPr>
              <w:pStyle w:val="TableContents"/>
              <w:bidi w:val="0"/>
              <w:spacing w:before="0" w:after="283"/>
              <w:jc w:val="left"/>
              <w:rPr/>
            </w:pPr>
            <w:r>
              <w:rPr/>
              <w:t> </w:t>
            </w:r>
          </w:p>
        </w:tc>
        <w:tc>
          <w:tcPr>
            <w:tcW w:w="94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LIU,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MSVC SPF I GP, L.P., as its general partner, TMT General Partner Ltd., as its general partner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3014</Words>
  <Characters>15249</Characters>
  <CharactersWithSpaces>18188</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