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20"/>
        <w:spacing w:after="0"/>
        <w:rPr>
          <w:sz w:val="20"/>
          <w:szCs w:val="20"/>
          <w:color w:val="auto"/>
        </w:rPr>
      </w:pPr>
      <w:r>
        <w:rPr>
          <w:rFonts w:ascii="Arial" w:cs="Arial" w:eastAsia="Arial" w:hAnsi="Arial"/>
          <w:sz w:val="13"/>
          <w:szCs w:val="13"/>
          <w:b w:val="1"/>
          <w:bCs w:val="1"/>
          <w:color w:val="auto"/>
        </w:rPr>
        <w:t>PROSPECTUS</w:t>
      </w:r>
    </w:p>
    <w:p>
      <w:pPr>
        <w:spacing w:after="0" w:line="20" w:lineRule="exact"/>
        <w:rPr>
          <w:sz w:val="24"/>
          <w:szCs w:val="24"/>
          <w:color w:val="auto"/>
        </w:rPr>
      </w:pPr>
      <w:r>
        <w:rPr>
          <w:sz w:val="24"/>
          <w:szCs w:val="24"/>
          <w:color w:val="auto"/>
        </w:rPr>
        <w:br w:type="column"/>
      </w:r>
    </w:p>
    <w:p>
      <w:pPr>
        <w:jc w:val="right"/>
        <w:ind w:right="1398"/>
        <w:spacing w:after="0"/>
        <w:rPr>
          <w:sz w:val="20"/>
          <w:szCs w:val="20"/>
          <w:color w:val="auto"/>
        </w:rPr>
      </w:pPr>
      <w:r>
        <w:rPr>
          <w:rFonts w:ascii="Arial" w:cs="Arial" w:eastAsia="Arial" w:hAnsi="Arial"/>
          <w:sz w:val="13"/>
          <w:szCs w:val="13"/>
          <w:b w:val="1"/>
          <w:bCs w:val="1"/>
          <w:color w:val="auto"/>
        </w:rPr>
        <w:t>Filed Pursuant to Rule 424(b)(4)</w:t>
      </w:r>
    </w:p>
    <w:p>
      <w:pPr>
        <w:spacing w:after="0" w:line="24" w:lineRule="exact"/>
        <w:rPr>
          <w:sz w:val="24"/>
          <w:szCs w:val="24"/>
          <w:color w:val="auto"/>
        </w:rPr>
      </w:pPr>
    </w:p>
    <w:p>
      <w:pPr>
        <w:jc w:val="right"/>
        <w:ind w:right="1398"/>
        <w:spacing w:after="0"/>
        <w:rPr>
          <w:sz w:val="20"/>
          <w:szCs w:val="20"/>
          <w:color w:val="auto"/>
        </w:rPr>
      </w:pPr>
      <w:r>
        <w:rPr>
          <w:rFonts w:ascii="Arial" w:cs="Arial" w:eastAsia="Arial" w:hAnsi="Arial"/>
          <w:sz w:val="14"/>
          <w:szCs w:val="14"/>
          <w:b w:val="1"/>
          <w:bCs w:val="1"/>
          <w:color w:val="auto"/>
        </w:rPr>
        <w:t>Registration No. 333-296228</w:t>
      </w:r>
    </w:p>
    <w:p>
      <w:pPr>
        <w:spacing w:after="0" w:line="14" w:lineRule="exact"/>
        <w:rPr>
          <w:sz w:val="24"/>
          <w:szCs w:val="24"/>
          <w:color w:val="auto"/>
        </w:rPr>
      </w:pPr>
    </w:p>
    <w:p>
      <w:pPr>
        <w:sectPr>
          <w:pgSz w:w="11920" w:h="16838" w:orient="portrait"/>
          <w:cols w:equalWidth="0" w:num="2">
            <w:col w:w="4840" w:space="720"/>
            <w:col w:w="3478"/>
          </w:cols>
          <w:pgMar w:left="1440" w:top="251" w:right="1440" w:bottom="1440" w:gutter="0" w:footer="0" w:header="0"/>
        </w:sectPr>
      </w:pPr>
    </w:p>
    <w:p>
      <w:pPr>
        <w:jc w:val="center"/>
        <w:ind w:right="-21"/>
        <w:spacing w:after="0"/>
        <w:rPr>
          <w:sz w:val="20"/>
          <w:szCs w:val="20"/>
          <w:color w:val="auto"/>
        </w:rPr>
      </w:pPr>
      <w:r>
        <w:rPr>
          <w:rFonts w:ascii="Arial" w:cs="Arial" w:eastAsia="Arial" w:hAnsi="Arial"/>
          <w:sz w:val="22"/>
          <w:szCs w:val="22"/>
          <w:b w:val="1"/>
          <w:bCs w:val="1"/>
          <w:color w:val="auto"/>
        </w:rPr>
        <w:t>3,000,000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84455</wp:posOffset>
            </wp:positionV>
            <wp:extent cx="1561465" cy="415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1465" cy="415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1"/>
        <w:spacing w:after="0"/>
        <w:rPr>
          <w:sz w:val="20"/>
          <w:szCs w:val="20"/>
          <w:color w:val="auto"/>
        </w:rPr>
      </w:pPr>
      <w:r>
        <w:rPr>
          <w:rFonts w:ascii="Arial" w:cs="Arial" w:eastAsia="Arial" w:hAnsi="Arial"/>
          <w:sz w:val="25"/>
          <w:szCs w:val="25"/>
          <w:b w:val="1"/>
          <w:bCs w:val="1"/>
          <w:color w:val="auto"/>
        </w:rPr>
        <w:t>DSC Holdings Ltd.</w:t>
      </w:r>
    </w:p>
    <w:p>
      <w:pPr>
        <w:spacing w:after="0" w:line="64" w:lineRule="exact"/>
        <w:rPr>
          <w:sz w:val="24"/>
          <w:szCs w:val="24"/>
          <w:color w:val="auto"/>
        </w:rPr>
      </w:pPr>
    </w:p>
    <w:p>
      <w:pPr>
        <w:jc w:val="center"/>
        <w:ind w:right="-21"/>
        <w:spacing w:after="0"/>
        <w:rPr>
          <w:sz w:val="20"/>
          <w:szCs w:val="20"/>
          <w:color w:val="auto"/>
        </w:rPr>
      </w:pPr>
      <w:r>
        <w:rPr>
          <w:rFonts w:ascii="Arial" w:cs="Arial" w:eastAsia="Arial" w:hAnsi="Arial"/>
          <w:sz w:val="19"/>
          <w:szCs w:val="19"/>
          <w:b w:val="1"/>
          <w:bCs w:val="1"/>
          <w:color w:val="auto"/>
        </w:rPr>
        <w:t>Representing 60,000,000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901700</wp:posOffset>
            </wp:positionH>
            <wp:positionV relativeFrom="paragraph">
              <wp:posOffset>26670</wp:posOffset>
            </wp:positionV>
            <wp:extent cx="39535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pacing w:after="0" w:line="149" w:lineRule="exact"/>
        <w:rPr>
          <w:sz w:val="24"/>
          <w:szCs w:val="24"/>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This is an initial public offering of 3,000,000 American depositary shares, or ADSs, of DSC Holdings Ltd. Each ADS represents 20 of our Class A ordinary shares, par value US$0.0001 per share.</w:t>
      </w:r>
    </w:p>
    <w:p>
      <w:pPr>
        <w:spacing w:after="0" w:line="66" w:lineRule="exact"/>
        <w:rPr>
          <w:sz w:val="24"/>
          <w:szCs w:val="24"/>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Prior to this offering, there has been no public market for the ADSs or our Class A ordinary shares. The initial public offering price is US$17.0 per ADS. We have been approved for listing the ADSs representing our Class A ordinary shares on the Nasdaq Global Market under the symbol “DSC.”</w:t>
      </w:r>
    </w:p>
    <w:p>
      <w:pPr>
        <w:spacing w:after="0" w:line="59" w:lineRule="exact"/>
        <w:rPr>
          <w:sz w:val="24"/>
          <w:szCs w:val="24"/>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55" w:lineRule="exact"/>
        <w:rPr>
          <w:sz w:val="24"/>
          <w:szCs w:val="24"/>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Following the completion of this offering, our issued and outstanding share capital will consist of Class A ordinary shares and Class B ordinary shares. Mr. Junhong Yao, our founder, director and chief executive officer, will beneficially own all of our issued and outstanding Class B ordinary shares and will be able to exercise approximately 85.4%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one vote. Each Class B ordinary share is entitled to 10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to such holder, each of such Class B ordinary share will be automatically and immediately converted into one Class A ordinary share. See “Description of Share Capital.” Immediately following the completion of this offering, we will be a “controlled company” within the meaning of the Nasdaq rules. See “Principal Shareholders.”</w:t>
      </w:r>
    </w:p>
    <w:p>
      <w:pPr>
        <w:spacing w:after="0" w:line="55" w:lineRule="exact"/>
        <w:rPr>
          <w:sz w:val="24"/>
          <w:szCs w:val="24"/>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API (HONG KONG) INVESTMENT LIMITED (together with its affiliates, “API”), through one of its affiliates, has subscribed for, and been allocated by the underwriters an aggregate of 1,529,411 ADSs. API’s subscriptions for the ADSs are at the initial public offering price and on the same terms as the other ADSs being offered. The underwriters receive the same underwriting discounts and commissions on any of the ADSs sold to API as they do on any other ADSs sold to the public in this offering. For additional information, see “Underwriting.”</w:t>
      </w:r>
    </w:p>
    <w:p>
      <w:pPr>
        <w:spacing w:after="0" w:line="13"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____________________________</w:t>
      </w:r>
    </w:p>
    <w:p>
      <w:pPr>
        <w:spacing w:after="0" w:line="69" w:lineRule="exact"/>
        <w:rPr>
          <w:sz w:val="24"/>
          <w:szCs w:val="24"/>
          <w:color w:val="auto"/>
        </w:rPr>
      </w:pPr>
    </w:p>
    <w:p>
      <w:pPr>
        <w:jc w:val="both"/>
        <w:ind w:left="1420" w:right="1398" w:firstLine="249"/>
        <w:spacing w:after="0" w:line="244" w:lineRule="auto"/>
        <w:rPr>
          <w:sz w:val="20"/>
          <w:szCs w:val="20"/>
          <w:color w:val="auto"/>
        </w:rPr>
      </w:pPr>
      <w:r>
        <w:rPr>
          <w:rFonts w:ascii="Arial" w:cs="Arial" w:eastAsia="Arial" w:hAnsi="Arial"/>
          <w:sz w:val="17"/>
          <w:szCs w:val="17"/>
          <w:b w:val="1"/>
          <w:bCs w:val="1"/>
          <w:color w:val="auto"/>
        </w:rPr>
        <w:t>We are an “emerging growth company” under the U.S. federal securities laws and will be subject to reduced public company reporting requirements. Investing in our ADSs involves risks. See “Risk Factors” beginning on page 40 of this prospectus.</w:t>
      </w:r>
    </w:p>
    <w:p>
      <w:pPr>
        <w:spacing w:after="0" w:line="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____________________________</w:t>
      </w:r>
    </w:p>
    <w:p>
      <w:pPr>
        <w:spacing w:after="0" w:line="78" w:lineRule="exact"/>
        <w:rPr>
          <w:sz w:val="24"/>
          <w:szCs w:val="24"/>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DSC Holdings Ltd. (“DSC” or the “Company”) is a Cayman Islands holding company with no substantial operations of its own. The Company conducts its current operations primarily through its subsidiaries in China and through the contractual arrangements between such subsidiaries and two variable interest entities, namely Hangzhou Souche Network Technology Co., Ltd. (“Hangzhou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901700</wp:posOffset>
            </wp:positionH>
            <wp:positionV relativeFrom="paragraph">
              <wp:posOffset>180975</wp:posOffset>
            </wp:positionV>
            <wp:extent cx="3953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51" w:right="1440" w:bottom="1440" w:gutter="0" w:footer="0" w:header="0"/>
          <w:type w:val="continuous"/>
        </w:sectPr>
      </w:pPr>
    </w:p>
    <w:bookmarkStart w:id="1" w:name="page2"/>
    <w:bookmarkEnd w:id="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3"/>
          <w:szCs w:val="13"/>
          <w:color w:val="auto"/>
        </w:rPr>
        <w:t>Souche”) and Beijing Peak Technology Co., Ltd. (“Beijing Peak,” and together with Hangzhou Souche, the “VIEs”), and their subsidiaries. The VIEs are combined or consolidated for accounting purposes only and DSC does not own any equity interests in the VIEs. The PRC laws and regulations restrict and impose conditions on direct foreign investment in certain types of business, including value-added telecommunications business, and we therefore operate these businesses in China through the VIE structure which provides investors with exposure to foreign investment in the Chinese operating companies where the PRC laws impose limitations on us from direct foreign investment in the operating companies. For a summary of these contractual arrangements, see “Corporate History and Structure — Contractual Arrangements with the VIEs and Their Shareholders.” Investors are purchasing equity interests in DSC, the Cayman Islands holding company, and are not purchasing, and may never directly hold, equity interests in the VIEs. Investors who are non-PRC residents may never directly hold equity interests in the VIEs under current PRC laws and regulations. As used in this prospectus, “we,” “us,” or “our” refers to DSC and its subsidiaries.</w:t>
      </w:r>
    </w:p>
    <w:p>
      <w:pPr>
        <w:spacing w:after="0" w:line="50"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Our corporate structure is subject to risks relating to our contractual arrangements with the VIEs and their shareholders. The VIEs and their subsidiaries generated 37.7%, 42.1% and 59.8% of our total revenues in 2023, 2024 and 2025, respectively. As of December 31, 2024 and 2025, the total current assets and non-current assets of the VIEs and their subsidiaries accounted for 62.3% and 63.9% of our consolidated total assets, respectively. As of the date of this prospectus, our contractual arrangements with the VIEs have not been tested in any of the PRC courts. The interpretation and application of current and future PRC laws and regulations relating to these contractual arrangements are still evolving. If the PRC government considers that our contractual arrangements with the VIEs do not comply with the PRC regulations on direct foreign investment in the relevant industries, or if the relevant PRC laws and regulations or the interpretation thereof change in the future, we could be subject to severe penalties or be forced to relinquish our interests in the VIEs, forfeit our rights under the contractual arrangements, or otherwise significantly change our corporate structure. DSC and investors in the ADSs face uncertainty about potential future actions by the PRC government, which could affect the enforceability of our contractual arrangements with the VIEs and, consequently, significantly affect the financial condition and results of operations of DSC. If we are unable to assert our right to control the assets of the VIEs, or if the PRC government were to prohibit the VIE structure entirely, it could lead to a material adverse change in our operations, and the ADSs may significantly decline in value or become worthless. See “Risk Factors — Risks Related to Corporate Structure.”</w:t>
      </w:r>
    </w:p>
    <w:p>
      <w:pPr>
        <w:spacing w:after="0" w:line="4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As substantially all of our operations are based in China, we face various legal and regulatory requirements related to being based in and having the majority of our operations in China. Like the government of some other countries does to the companies based in their countries, the PRC government has substantial discretion and authority to influence the ability of China-based companies, including our own, to conduct business, accept foreign investments, and list on a U.S. or other foreign exchanges. For example, we face risks associated with regulatory approvals of offshore offerings, anti-monopoly regulatory actions and oversight on cybersecurity and data privacy. These risks could result in a material change in our operations, affect the value of our ADSs, or significantly limit or completely hinder our ability to offer or continue to offer ADSs and/or other securities to investors overseas, potentially causing the value of such securities to significantly decline or be worthless. For a detailed description of risks related to doing business in China, see “Summary — Permission Required from the PRC Authorities for Our Operations and Offerings” and “Risk Factors — Risks Related to Doing Business in China.”</w:t>
      </w:r>
    </w:p>
    <w:p>
      <w:pPr>
        <w:spacing w:after="0" w:line="5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Chinese legal system is rapidly evolving, and we could be adversely affected by uncertainties with respect to the enforcement of laws and unexpected changes in laws and regulations. Rules and regulations in China can change quickly with little advance notice. In addition, the interpretation and enforcement of Chinese laws and regulations involve additional uncertainties. Since administrative and court authorities in China have substantial discretion to varying degrees in interpreting and implementing statutory provisions and contractual terms, it may be difficult to evaluate the outcome of administrative and court proceedings and the level of legal protection we enjoy. The PRC legal system encompasses government policies and administrative rules. New policies and rules may be introduced from time to time and may not be timely published, and existing ones may be modified quickly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179070</wp:posOffset>
            </wp:positionV>
            <wp:extent cx="3953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 w:name="page3"/>
    <w:bookmarkEnd w:id="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33" w:lineRule="auto"/>
        <w:rPr>
          <w:sz w:val="20"/>
          <w:szCs w:val="20"/>
          <w:color w:val="auto"/>
        </w:rPr>
      </w:pPr>
      <w:r>
        <w:rPr>
          <w:rFonts w:ascii="Arial" w:cs="Arial" w:eastAsia="Arial" w:hAnsi="Arial"/>
          <w:sz w:val="14"/>
          <w:szCs w:val="14"/>
          <w:color w:val="auto"/>
        </w:rPr>
        <w:t>little advanced notice and with possible retroactive effect under certain circumstances. We may be found to be in violation of these policies and rules if we fail to timely and effectively adapt ourselves to these regulatory developments. Such potential violations, including potential violations over the scope and effect of our contractual, property (including intellectual property) and procedural rights, could materially and adversely affect our business and impede our ability to continue our operations. In addition, the PRC government may intervene or influence our operations as the government deems appropriate to further regulatory, political and societal goals. The PRC government has, in recent years, published new policies that significantly affected certain industries, including the internet sector. It is possible that the PRC government will release additional regulations or policies in the future that could adversely affect our business, financial condition and results of operations. Furthermore, the PRC government has recently indicated an intent to exert more oversight and control over overseas securities offerings and other capital markets activities and foreign investment in China-based companies like us. Any such actions, if taken by the PRC government, could result in a material change in our operations, and/or significantly limit or completely hinder our ability to offer or continue to offer securities to investors and cause the value of such securities to significantly decline or, in extreme cases, become worthless. For more details, see “Risk Factors — Risks Related to Doing Business in China — The evolving PRC legal system, including uncertainties regarding the enforcement of laws, and sudden or unexpected changes in laws and regulations in China could adversely affect us and limit the legal protections available to you and us,” and “Risk Factors — Risks Related to Doing Business in China — We are subject to uncertainties of conducting the company’s business operations in China. The PRC government exerts substantial influence over the manner in which we conduct our business operations. It may influence or intervene in our operations at any time as part of its efforts to enforce PRC law, which could result in a material adverse change in our operations and the value of the ADSs.”</w:t>
      </w:r>
    </w:p>
    <w:p>
      <w:pPr>
        <w:spacing w:after="0" w:line="78"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Trading in our securities on U.S. markets, including the Nasdaq, may be prohibited under the Holding Foreign Companies Accountable Act (the “HFCAA”) if the Public Company Accounting Oversight Board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outside of our control, as well as that of our auditor,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 China and Hong Kong and we continue to use any such accounting firm to conduct audit work, we would be identified as a “Commission-Identified Issuer” under the HFCAA following the filing of the annual report for the relevant fiscal year. If we were identified as a “Commission-Identified Issuer” for two consecutive years, trading in our securities on U.S. markets would be prohibited under the HFCAA. For more details, see “Risk Factors — Risks Related to Doing Business in China — If the PCAOB is prevented from fully evaluating audits and quality control procedures of our auditor, investors may be deprived of the benefits of such PCAOB inspections,” and “Risk Factors — Risks Related to Doing Business in China — The Holding Foreign Companies Accountable Act may result in the delisting of the ADSs. The delisting of our ADSs, or the threat of their being delisted, may materially and adversely affect the value of your investment.”</w:t>
      </w:r>
    </w:p>
    <w:p>
      <w:pPr>
        <w:spacing w:after="0" w:line="7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DSC, our Cayman Islands holding company, may transfer cash to its wholly owned subsidiaries incorporated in the Cayman Islands, the British Virgin Islands, and Hong Kong through capital injections and intra-group loans. Similarly, DSC’s wholly owned subsidiaries in Hong Kong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178435</wp:posOffset>
            </wp:positionV>
            <wp:extent cx="39535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 w:name="page4"/>
    <w:bookmarkEnd w:id="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3" w:lineRule="auto"/>
        <w:rPr>
          <w:sz w:val="20"/>
          <w:szCs w:val="20"/>
          <w:color w:val="auto"/>
        </w:rPr>
      </w:pPr>
      <w:r>
        <w:rPr>
          <w:rFonts w:ascii="Arial" w:cs="Arial" w:eastAsia="Arial" w:hAnsi="Arial"/>
          <w:sz w:val="14"/>
          <w:szCs w:val="14"/>
          <w:color w:val="auto"/>
        </w:rPr>
        <w:t>transfer cash to Hangzhou Dasouche Information Technology Service Co., Ltd. and CheYiPai (Beijing) Automotive Technology Service Co., Ltd., which we refer to collectively as our wholly foreign owned entities in the PRC, or WFOEs, and other PRC subsidiaries through capital injections and intra-group loans. Cash is also transferred through our organization by way of intra-group transactions to pay for services or goods provided. Additionally, if our WFOEs and other PRC subsidiaries realize accumulated after-tax profits, they may, upon satisfaction of relevant statutory conditions and procedures, pay dividends or distribute earnings to DSC’s Hong Kong subsidiaries as the WFOEs’ and other PRC subsidiaries’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 Under current PRC laws and regulations, we are permitted to transfer funds to the VIEs through loans, rather than through capital contributions, since we do not own equity interests in the VIEs. In 2023, 2024 and 2025, the VIEs paid RMB49.7 million, RMB21.0 million and RMB6.9 million (US$1.0 million) respectively, to the WFOEs for certain administrative and delivery services the WFOEs provided to the VIEs, or as intra-group loans provided by the VIEs to the WFOEs to meet their working capital needs. Furthermore, in 2023, 2024 and 2025, the WFOEs transferred funds of RMB18.7 million, RMB6.9 million and nil, respectively, to the VIEs as payment of certain delivery, marketing and customer engagement solutions provided by the VIEs to the WFOEs or as intra-group loans provided by the WFOEs to the VIEs to meet their working capital needs. For details, see “Prospectus Summary — Our Summary Combined and Consolidated Financial Data and Operating Data — VIE Consolidating Schedules.” As of the date of this prospectus, none of the WFOEs or our other PRC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 — Transfer of Funds and Other Assets through Our Organization,” “Corporate History and Structure — Regulatory Requirements on Foreign Exchange and the Ability to Transfer Cash Between Entities, Across Borders and to U.S. Investors” and “Corporate History and Structure — 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72"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To the extent our cash in the business is in the PRC or a PRC entity, the funds may not be available to distribute dividends to our investors, or for other use outside of the PRC, due to oversight on or the regulatory requirements and limitations on the ability of us, our subsidiaries, or the VIEs by the PRC government to transfer cash. The PRC government exerts oversights, in accordance with applicable laws and regulations, on the convertibility of Renminbi into foreign currencies and, in certain cases, the remittance of currency out of China. Our cash dividends, if any, will be paid in U.S. dollars. As a consequence, we might not be able to pay dividends in foreign currencies to our shareholders. If we are considered a PRC tax resident enterprise for tax purposes, any dividends we pay to our overseas shareholders may be regarded as China-sourced income and as a result may be subject to PRC withholding tax. In addition, relevant PRC laws and regulations permit the PRC companies to pay dividends only out of their retained earnings, if any, as determined in accordance with PRC accounting standards and regulations. The Company’s PRC subsidiaries may pay dividends only out of their accumulated after-tax profits upon satisfaction of relevant statutory conditions and procedures, if any, determined in accordance with Chinese accounting standards and regulations; each of the PRC subsidiaries is required to set aside at least 10% of its after-tax profits each year, if any, to fund certain reserve funds until the total amount set aside reaches 50% of its registered capital. Additionally, our PRC subsidiaries and the VIEs can only distribute dividends upon approval of the shareholders after they have met the PRC requirements for appropriation to the statutory reserves. Such laws and regulations would limit our ability to transfer cash between the Company, our WFOEs and other PRC subsidiaries, the VIEs, or investors. See “Risk Factors — Risks Related to Doing Business in China —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“Risk Factors — If we are classified as a PRC 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281305</wp:posOffset>
            </wp:positionV>
            <wp:extent cx="39535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4" w:name="page5"/>
    <w:bookmarkEnd w:id="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enterprise for PRC enterprise income tax purposes, such classification could result in unfavorable tax consequences to us and our non-PRC shareholders and ADS holders,” and “Regulation — Regulations relating to Foreign Exchange Control — Regulations on Dividend Distribution.”</w:t>
      </w:r>
    </w:p>
    <w:p>
      <w:pPr>
        <w:spacing w:after="0" w:line="161"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__________________________</w:t>
      </w:r>
    </w:p>
    <w:p>
      <w:pPr>
        <w:spacing w:after="0" w:line="7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Price US$17.0 Per ADS</w:t>
      </w:r>
    </w:p>
    <w:p>
      <w:pPr>
        <w:spacing w:after="0" w:line="13"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__________________________</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9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 ADS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Total</w:t>
            </w:r>
          </w:p>
        </w:tc>
      </w:tr>
      <w:tr>
        <w:trPr>
          <w:trHeight w:val="214"/>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51,000,000</w:t>
            </w:r>
          </w:p>
        </w:tc>
      </w:tr>
      <w:tr>
        <w:trPr>
          <w:trHeight w:val="218"/>
        </w:trPr>
        <w:tc>
          <w:tcPr>
            <w:tcW w:w="39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6"/>
                <w:szCs w:val="16"/>
                <w:color w:val="auto"/>
                <w:vertAlign w:val="superscript"/>
              </w:rPr>
              <w:t>(1)</w:t>
            </w:r>
          </w:p>
        </w:tc>
        <w:tc>
          <w:tcPr>
            <w:tcW w:w="280" w:type="dxa"/>
            <w:vAlign w:val="bottom"/>
          </w:tcPr>
          <w:p>
            <w:pPr>
              <w:spacing w:after="0"/>
              <w:rPr>
                <w:sz w:val="20"/>
                <w:szCs w:val="20"/>
                <w:color w:val="auto"/>
              </w:rPr>
            </w:pPr>
            <w:r>
              <w:rPr>
                <w:rFonts w:ascii="Arial" w:cs="Arial" w:eastAsia="Arial" w:hAnsi="Arial"/>
                <w:sz w:val="14"/>
                <w:szCs w:val="14"/>
                <w:color w:val="auto"/>
                <w:w w:val="95"/>
              </w:rPr>
              <w:t>US$</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1.1628</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US$</w:t>
            </w:r>
          </w:p>
        </w:tc>
        <w:tc>
          <w:tcPr>
            <w:tcW w:w="840" w:type="dxa"/>
            <w:vAlign w:val="bottom"/>
          </w:tcPr>
          <w:p>
            <w:pPr>
              <w:jc w:val="right"/>
              <w:spacing w:after="0"/>
              <w:rPr>
                <w:sz w:val="20"/>
                <w:szCs w:val="20"/>
                <w:color w:val="auto"/>
              </w:rPr>
            </w:pPr>
            <w:r>
              <w:rPr>
                <w:rFonts w:ascii="Arial" w:cs="Arial" w:eastAsia="Arial" w:hAnsi="Arial"/>
                <w:sz w:val="14"/>
                <w:szCs w:val="14"/>
                <w:color w:val="auto"/>
              </w:rPr>
              <w:t>3,487,000</w:t>
            </w: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15.8372</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47,513,000</w:t>
            </w: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(1)  For a description of compensation payable to the underwriters, see “Underwriting.”</w:t>
      </w:r>
    </w:p>
    <w:p>
      <w:pPr>
        <w:spacing w:after="0" w:line="93"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underwriters have an over-allotment option to purchase up to an additional 450,000 ADSs from us at the initial public offering price within 30 days from the date of this prospectus.</w:t>
      </w:r>
    </w:p>
    <w:p>
      <w:pPr>
        <w:spacing w:after="0" w:line="6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underwriters expect to deliver the ADSs against payment in U.S. dollars in New York, New York on or about June 26, 2026.</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__________________________</w:t>
      </w:r>
    </w:p>
    <w:p>
      <w:pPr>
        <w:sectPr>
          <w:pgSz w:w="11920" w:h="16838" w:orient="portrait"/>
          <w:cols w:equalWidth="0" w:num="1">
            <w:col w:w="9038"/>
          </w:cols>
          <w:pgMar w:left="1440" w:top="230" w:right="1440" w:bottom="1440" w:gutter="0" w:footer="0" w:header="0"/>
        </w:sectPr>
      </w:pPr>
    </w:p>
    <w:p>
      <w:pPr>
        <w:spacing w:after="0" w:line="105" w:lineRule="exact"/>
        <w:rPr>
          <w:sz w:val="20"/>
          <w:szCs w:val="20"/>
          <w:color w:val="auto"/>
        </w:rPr>
      </w:pPr>
    </w:p>
    <w:p>
      <w:pPr>
        <w:jc w:val="center"/>
        <w:ind w:left="700"/>
        <w:spacing w:after="0"/>
        <w:rPr>
          <w:sz w:val="20"/>
          <w:szCs w:val="20"/>
          <w:color w:val="auto"/>
        </w:rPr>
      </w:pPr>
      <w:r>
        <w:rPr>
          <w:rFonts w:ascii="Arial" w:cs="Arial" w:eastAsia="Arial" w:hAnsi="Arial"/>
          <w:sz w:val="19"/>
          <w:szCs w:val="19"/>
          <w:b w:val="1"/>
          <w:bCs w:val="1"/>
          <w:color w:val="auto"/>
        </w:rPr>
        <w:t>Deutsche Bank</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CICC</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 Global Markets</w:t>
      </w:r>
    </w:p>
    <w:p>
      <w:pPr>
        <w:spacing w:after="0" w:line="192" w:lineRule="exact"/>
        <w:rPr>
          <w:sz w:val="20"/>
          <w:szCs w:val="20"/>
          <w:color w:val="auto"/>
        </w:rPr>
      </w:pPr>
    </w:p>
    <w:p>
      <w:pPr>
        <w:sectPr>
          <w:pgSz w:w="11920" w:h="16838" w:orient="portrait"/>
          <w:cols w:equalWidth="0" w:num="3">
            <w:col w:w="3540" w:space="720"/>
            <w:col w:w="940" w:space="720"/>
            <w:col w:w="3118"/>
          </w:cols>
          <w:pgMar w:left="1440" w:top="230" w:right="1440" w:bottom="1440" w:gutter="0" w:footer="0" w:header="0"/>
          <w:type w:val="continuous"/>
        </w:sectPr>
      </w:pPr>
    </w:p>
    <w:p>
      <w:pPr>
        <w:jc w:val="center"/>
        <w:ind w:right="-1"/>
        <w:spacing w:after="0"/>
        <w:rPr>
          <w:sz w:val="20"/>
          <w:szCs w:val="20"/>
          <w:color w:val="auto"/>
        </w:rPr>
      </w:pPr>
      <w:r>
        <w:rPr>
          <w:rFonts w:ascii="Arial" w:cs="Arial" w:eastAsia="Arial" w:hAnsi="Arial"/>
          <w:sz w:val="14"/>
          <w:szCs w:val="14"/>
          <w:b w:val="1"/>
          <w:bCs w:val="1"/>
          <w:color w:val="auto"/>
        </w:rPr>
        <w:t>ICBC International</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The date of this prospectus is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200025</wp:posOffset>
            </wp:positionV>
            <wp:extent cx="39535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5" w:name="page6"/>
    <w:bookmarkEnd w:id="5"/>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81915</wp:posOffset>
            </wp:positionV>
            <wp:extent cx="3953510" cy="527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5277485"/>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 w:name="page7"/>
    <w:bookmarkEnd w:id="6"/>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15875</wp:posOffset>
            </wp:positionV>
            <wp:extent cx="3953510" cy="5422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53510" cy="5422265"/>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 w:name="page8"/>
    <w:bookmarkEnd w:id="7"/>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15875</wp:posOffset>
            </wp:positionV>
            <wp:extent cx="3953510" cy="542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53510" cy="5422265"/>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 w:name="page9"/>
    <w:bookmarkEnd w:id="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TABLE OF CONTENTS</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Page</w:t>
            </w:r>
          </w:p>
        </w:tc>
      </w:tr>
      <w:tr>
        <w:trPr>
          <w:trHeight w:val="194"/>
        </w:trPr>
        <w:tc>
          <w:tcPr>
            <w:tcW w:w="132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4"/>
                <w:szCs w:val="14"/>
                <w:color w:val="0000EE"/>
                <w:w w:val="97"/>
              </w:rPr>
              <w:t>Prospectus Summary</w:t>
            </w:r>
          </w:p>
        </w:tc>
        <w:tc>
          <w:tcPr>
            <w:tcW w:w="4480" w:type="dxa"/>
            <w:vAlign w:val="bottom"/>
            <w:tcBorders>
              <w:bottom w:val="single" w:sz="8" w:color="CCEEFF"/>
            </w:tcBorders>
            <w:gridSpan w:val="11"/>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Risk Factors</w:t>
            </w:r>
          </w:p>
        </w:tc>
        <w:tc>
          <w:tcPr>
            <w:tcW w:w="4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5800" w:type="dxa"/>
            <w:vAlign w:val="bottom"/>
            <w:gridSpan w:val="24"/>
            <w:shd w:val="clear" w:color="auto" w:fill="CCEEFF"/>
          </w:tcPr>
          <w:p>
            <w:pPr>
              <w:spacing w:after="0"/>
              <w:rPr>
                <w:sz w:val="20"/>
                <w:szCs w:val="20"/>
                <w:color w:val="auto"/>
              </w:rPr>
            </w:pPr>
            <w:r>
              <w:rPr>
                <w:rFonts w:ascii="Arial" w:cs="Arial" w:eastAsia="Arial" w:hAnsi="Arial"/>
                <w:sz w:val="14"/>
                <w:szCs w:val="14"/>
                <w:color w:val="0000EE"/>
              </w:rPr>
              <w:t>Cautionary Statement Regarding 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66"/>
        </w:trPr>
        <w:tc>
          <w:tcPr>
            <w:tcW w:w="3820" w:type="dxa"/>
            <w:vAlign w:val="bottom"/>
            <w:tcBorders>
              <w:top w:val="single" w:sz="8" w:color="0000EE"/>
            </w:tcBorders>
            <w:gridSpan w:val="22"/>
          </w:tcPr>
          <w:p>
            <w:pPr>
              <w:spacing w:after="0"/>
              <w:rPr>
                <w:sz w:val="20"/>
                <w:szCs w:val="20"/>
                <w:color w:val="auto"/>
              </w:rPr>
            </w:pPr>
            <w:r>
              <w:rPr>
                <w:rFonts w:ascii="Arial" w:cs="Arial" w:eastAsia="Arial" w:hAnsi="Arial"/>
                <w:sz w:val="14"/>
                <w:szCs w:val="14"/>
                <w:color w:val="0000EE"/>
              </w:rPr>
              <w:t>Use of Proceeds</w:t>
            </w:r>
          </w:p>
        </w:tc>
        <w:tc>
          <w:tcPr>
            <w:tcW w:w="1980" w:type="dxa"/>
            <w:vAlign w:val="bottom"/>
            <w:tcBorders>
              <w:top w:val="single" w:sz="8" w:color="CCEEFF"/>
            </w:tcBorders>
            <w:gridSpan w:val="2"/>
          </w:tcPr>
          <w:p>
            <w:pPr>
              <w:spacing w:after="0"/>
              <w:rPr>
                <w:sz w:val="14"/>
                <w:szCs w:val="14"/>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115</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5800" w:type="dxa"/>
            <w:vAlign w:val="bottom"/>
            <w:gridSpan w:val="24"/>
            <w:shd w:val="clear" w:color="auto" w:fill="CCEEFF"/>
          </w:tcPr>
          <w:p>
            <w:pPr>
              <w:spacing w:after="0"/>
              <w:rPr>
                <w:sz w:val="20"/>
                <w:szCs w:val="20"/>
                <w:color w:val="auto"/>
              </w:rPr>
            </w:pPr>
            <w:r>
              <w:rPr>
                <w:rFonts w:ascii="Arial" w:cs="Arial" w:eastAsia="Arial" w:hAnsi="Arial"/>
                <w:sz w:val="14"/>
                <w:szCs w:val="14"/>
                <w:color w:val="0000EE"/>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66"/>
        </w:trPr>
        <w:tc>
          <w:tcPr>
            <w:tcW w:w="940" w:type="dxa"/>
            <w:vAlign w:val="bottom"/>
            <w:tcBorders>
              <w:top w:val="single" w:sz="8" w:color="0000EE"/>
            </w:tcBorders>
            <w:gridSpan w:val="11"/>
          </w:tcPr>
          <w:p>
            <w:pPr>
              <w:spacing w:after="0"/>
              <w:rPr>
                <w:sz w:val="20"/>
                <w:szCs w:val="20"/>
                <w:color w:val="auto"/>
              </w:rPr>
            </w:pPr>
            <w:r>
              <w:rPr>
                <w:rFonts w:ascii="Arial" w:cs="Arial" w:eastAsia="Arial" w:hAnsi="Arial"/>
                <w:sz w:val="14"/>
                <w:szCs w:val="14"/>
                <w:color w:val="0000EE"/>
              </w:rPr>
              <w:t>Capitalization</w:t>
            </w:r>
          </w:p>
        </w:tc>
        <w:tc>
          <w:tcPr>
            <w:tcW w:w="4860" w:type="dxa"/>
            <w:vAlign w:val="bottom"/>
            <w:tcBorders>
              <w:top w:val="single" w:sz="8" w:color="CCEEFF"/>
            </w:tcBorders>
            <w:gridSpan w:val="13"/>
          </w:tcPr>
          <w:p>
            <w:pPr>
              <w:spacing w:after="0"/>
              <w:rPr>
                <w:sz w:val="14"/>
                <w:szCs w:val="14"/>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117</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46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4"/>
                <w:szCs w:val="14"/>
                <w:color w:val="0000EE"/>
                <w:w w:val="94"/>
              </w:rPr>
              <w:t>Dilution</w:t>
            </w:r>
          </w:p>
        </w:tc>
        <w:tc>
          <w:tcPr>
            <w:tcW w:w="5340" w:type="dxa"/>
            <w:vAlign w:val="bottom"/>
            <w:tcBorders>
              <w:bottom w:val="single" w:sz="8" w:color="CCEEFF"/>
            </w:tcBorders>
            <w:gridSpan w:val="23"/>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Enforceability of Civil Liabilities</w:t>
            </w:r>
          </w:p>
        </w:tc>
        <w:tc>
          <w:tcPr>
            <w:tcW w:w="4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66"/>
        </w:trPr>
        <w:tc>
          <w:tcPr>
            <w:tcW w:w="5800" w:type="dxa"/>
            <w:vAlign w:val="bottom"/>
            <w:gridSpan w:val="24"/>
            <w:shd w:val="clear" w:color="auto" w:fill="CCEEFF"/>
          </w:tcPr>
          <w:p>
            <w:pPr>
              <w:spacing w:after="0"/>
              <w:rPr>
                <w:sz w:val="20"/>
                <w:szCs w:val="20"/>
                <w:color w:val="auto"/>
              </w:rPr>
            </w:pPr>
            <w:r>
              <w:rPr>
                <w:rFonts w:ascii="Arial" w:cs="Arial" w:eastAsia="Arial" w:hAnsi="Arial"/>
                <w:sz w:val="14"/>
                <w:szCs w:val="14"/>
                <w:color w:val="0000EE"/>
              </w:rPr>
              <w:t>Corporate History and Structure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32"/>
        </w:trPr>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66"/>
        </w:trPr>
        <w:tc>
          <w:tcPr>
            <w:tcW w:w="5800" w:type="dxa"/>
            <w:vAlign w:val="bottom"/>
            <w:gridSpan w:val="24"/>
            <w:shd w:val="clear" w:color="auto" w:fill="CCEEFF"/>
          </w:tcPr>
          <w:p>
            <w:pPr>
              <w:spacing w:after="0"/>
              <w:rPr>
                <w:sz w:val="20"/>
                <w:szCs w:val="20"/>
                <w:color w:val="auto"/>
              </w:rPr>
            </w:pPr>
            <w:r>
              <w:rPr>
                <w:rFonts w:ascii="Arial" w:cs="Arial" w:eastAsia="Arial" w:hAnsi="Arial"/>
                <w:sz w:val="14"/>
                <w:szCs w:val="14"/>
                <w:color w:val="0000EE"/>
              </w:rPr>
              <w:t>Industry</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32"/>
        </w:trPr>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Business</w:t>
            </w:r>
          </w:p>
        </w:tc>
        <w:tc>
          <w:tcPr>
            <w:tcW w:w="4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66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4"/>
                <w:szCs w:val="14"/>
                <w:color w:val="0000EE"/>
                <w:w w:val="95"/>
              </w:rPr>
              <w:t>Regulation</w:t>
            </w:r>
          </w:p>
        </w:tc>
        <w:tc>
          <w:tcPr>
            <w:tcW w:w="5140" w:type="dxa"/>
            <w:vAlign w:val="bottom"/>
            <w:tcBorders>
              <w:bottom w:val="single" w:sz="8" w:color="CCEEFF"/>
            </w:tcBorders>
            <w:gridSpan w:val="19"/>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Management</w:t>
            </w:r>
          </w:p>
        </w:tc>
        <w:tc>
          <w:tcPr>
            <w:tcW w:w="42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66"/>
        </w:trPr>
        <w:tc>
          <w:tcPr>
            <w:tcW w:w="5800" w:type="dxa"/>
            <w:vAlign w:val="bottom"/>
            <w:gridSpan w:val="24"/>
            <w:shd w:val="clear" w:color="auto" w:fill="CCEEFF"/>
          </w:tcPr>
          <w:p>
            <w:pPr>
              <w:spacing w:after="0"/>
              <w:rPr>
                <w:sz w:val="20"/>
                <w:szCs w:val="20"/>
                <w:color w:val="auto"/>
              </w:rPr>
            </w:pPr>
            <w:r>
              <w:rPr>
                <w:rFonts w:ascii="Arial" w:cs="Arial" w:eastAsia="Arial" w:hAnsi="Arial"/>
                <w:sz w:val="14"/>
                <w:szCs w:val="14"/>
                <w:color w:val="0000EE"/>
              </w:rPr>
              <w:t>Principal Shareholders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32"/>
        </w:trPr>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Related Party Transactions</w:t>
            </w:r>
          </w:p>
        </w:tc>
        <w:tc>
          <w:tcPr>
            <w:tcW w:w="42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172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4"/>
                <w:szCs w:val="14"/>
                <w:color w:val="0000EE"/>
                <w:w w:val="97"/>
              </w:rPr>
              <w:t>Description of Share Capital</w:t>
            </w:r>
          </w:p>
        </w:tc>
        <w:tc>
          <w:tcPr>
            <w:tcW w:w="4080" w:type="dxa"/>
            <w:vAlign w:val="bottom"/>
            <w:tcBorders>
              <w:bottom w:val="single" w:sz="8" w:color="CCEEFF"/>
            </w:tcBorders>
            <w:gridSpan w:val="8"/>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Description of American Depositary Shares</w:t>
            </w:r>
          </w:p>
        </w:tc>
        <w:tc>
          <w:tcPr>
            <w:tcW w:w="42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188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4"/>
                <w:szCs w:val="14"/>
                <w:color w:val="0000EE"/>
                <w:w w:val="97"/>
              </w:rPr>
              <w:t>Shares Eligible for Future Sale</w:t>
            </w:r>
          </w:p>
        </w:tc>
        <w:tc>
          <w:tcPr>
            <w:tcW w:w="3920" w:type="dxa"/>
            <w:vAlign w:val="bottom"/>
            <w:tcBorders>
              <w:bottom w:val="single" w:sz="8" w:color="CCEEFF"/>
            </w:tcBorders>
            <w:gridSpan w:val="6"/>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Taxation</w:t>
            </w:r>
          </w:p>
        </w:tc>
        <w:tc>
          <w:tcPr>
            <w:tcW w:w="42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78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4"/>
                <w:szCs w:val="14"/>
                <w:color w:val="0000EE"/>
                <w:w w:val="96"/>
              </w:rPr>
              <w:t>Underwriting</w:t>
            </w:r>
          </w:p>
        </w:tc>
        <w:tc>
          <w:tcPr>
            <w:tcW w:w="5020" w:type="dxa"/>
            <w:vAlign w:val="bottom"/>
            <w:tcBorders>
              <w:bottom w:val="single" w:sz="8" w:color="CCEEFF"/>
            </w:tcBorders>
            <w:gridSpan w:val="17"/>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Expenses Relating to This Offering</w:t>
            </w:r>
          </w:p>
        </w:tc>
        <w:tc>
          <w:tcPr>
            <w:tcW w:w="42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84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4"/>
                <w:szCs w:val="14"/>
                <w:color w:val="0000EE"/>
                <w:w w:val="96"/>
              </w:rPr>
              <w:t>Legal Matters</w:t>
            </w:r>
          </w:p>
        </w:tc>
        <w:tc>
          <w:tcPr>
            <w:tcW w:w="4960" w:type="dxa"/>
            <w:vAlign w:val="bottom"/>
            <w:tcBorders>
              <w:bottom w:val="single" w:sz="8" w:color="CCEEFF"/>
            </w:tcBorders>
            <w:gridSpan w:val="14"/>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66"/>
        </w:trPr>
        <w:tc>
          <w:tcPr>
            <w:tcW w:w="5800" w:type="dxa"/>
            <w:vAlign w:val="bottom"/>
            <w:gridSpan w:val="24"/>
          </w:tcPr>
          <w:p>
            <w:pPr>
              <w:spacing w:after="0"/>
              <w:rPr>
                <w:sz w:val="20"/>
                <w:szCs w:val="20"/>
                <w:color w:val="auto"/>
              </w:rPr>
            </w:pPr>
            <w:r>
              <w:rPr>
                <w:rFonts w:ascii="Arial" w:cs="Arial" w:eastAsia="Arial" w:hAnsi="Arial"/>
                <w:sz w:val="14"/>
                <w:szCs w:val="14"/>
                <w:color w:val="0000EE"/>
              </w:rPr>
              <w:t>Experts</w:t>
            </w:r>
          </w:p>
        </w:tc>
        <w:tc>
          <w:tcPr>
            <w:tcW w:w="42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32"/>
        </w:trPr>
        <w:tc>
          <w:tcPr>
            <w:tcW w:w="4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8"/>
        </w:trPr>
        <w:tc>
          <w:tcPr>
            <w:tcW w:w="264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4"/>
                <w:szCs w:val="14"/>
                <w:color w:val="0000EE"/>
                <w:w w:val="97"/>
              </w:rPr>
              <w:t>Where You Can Find Additional Information</w:t>
            </w:r>
          </w:p>
        </w:tc>
        <w:tc>
          <w:tcPr>
            <w:tcW w:w="3160" w:type="dxa"/>
            <w:vAlign w:val="bottom"/>
            <w:tcBorders>
              <w:bottom w:val="single" w:sz="8" w:color="CCEEFF"/>
            </w:tcBorders>
            <w:gridSpan w:val="3"/>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66"/>
        </w:trPr>
        <w:tc>
          <w:tcPr>
            <w:tcW w:w="182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0000EE"/>
                <w:w w:val="97"/>
              </w:rPr>
              <w:t>Index to Financial Statements</w:t>
            </w:r>
          </w:p>
        </w:tc>
        <w:tc>
          <w:tcPr>
            <w:tcW w:w="3980" w:type="dxa"/>
            <w:vAlign w:val="bottom"/>
            <w:gridSpan w:val="7"/>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F-1</w:t>
            </w:r>
          </w:p>
        </w:tc>
      </w:tr>
    </w:tbl>
    <w:p>
      <w:pPr>
        <w:spacing w:after="0" w:line="15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_______________________</w:t>
      </w:r>
    </w:p>
    <w:p>
      <w:pPr>
        <w:spacing w:after="0" w:line="10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and only under circumstances and in jurisdictions where it is lawful to do so. The information contained in this prospectus is current only as of its date.</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or any free writing prospectus outside of the United States.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Class A ordinary shares. Our business, financial condition, results of operations and prospects may have changed since the date on the front cover of this prospectus.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color w:val="auto"/>
        </w:rPr>
        <w:t>Until July 19, 2026 (the 25</w:t>
      </w:r>
      <w:r>
        <w:rPr>
          <w:rFonts w:ascii="Arial" w:cs="Arial" w:eastAsia="Arial" w:hAnsi="Arial"/>
          <w:sz w:val="16"/>
          <w:szCs w:val="16"/>
          <w:b w:val="1"/>
          <w:bCs w:val="1"/>
          <w:color w:val="auto"/>
          <w:vertAlign w:val="superscript"/>
        </w:rPr>
        <w:t>th</w:t>
      </w:r>
      <w:r>
        <w:rPr>
          <w:rFonts w:ascii="Arial" w:cs="Arial" w:eastAsia="Arial" w:hAnsi="Arial"/>
          <w:sz w:val="14"/>
          <w:szCs w:val="14"/>
          <w:b w:val="1"/>
          <w:bCs w:val="1"/>
          <w:color w:val="auto"/>
        </w:rPr>
        <w:t xml:space="preserve">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9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 w:name="page10"/>
    <w:bookmarkEnd w:id="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237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59225" cy="5237480"/>
                    </a:xfrm>
                    <a:prstGeom prst="rect">
                      <a:avLst/>
                    </a:prstGeom>
                    <a:noFill/>
                  </pic:spPr>
                </pic:pic>
              </a:graphicData>
            </a:graphic>
          </wp:anchor>
        </w:drawing>
      </w:r>
    </w:p>
    <w:p>
      <w:pPr>
        <w:spacing w:after="0" w:line="28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PROSPECTUS SUMMARY</w:t>
      </w:r>
    </w:p>
    <w:p>
      <w:pPr>
        <w:spacing w:after="0" w:line="69"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 This prospectus contains information from an industry report commissioned by us and prepared by China Insights Industry Consultancy Limited, or CIC, an independent research firm, to provide information regarding our industry and our market position in China.</w:t>
      </w:r>
    </w:p>
    <w:p>
      <w:pPr>
        <w:spacing w:after="0" w:line="57"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Overview</w:t>
      </w:r>
    </w:p>
    <w:p>
      <w:pPr>
        <w:spacing w:after="0" w:line="80"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Mission</w:t>
      </w:r>
    </w:p>
    <w:p>
      <w:pPr>
        <w:spacing w:after="0" w:line="55"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Our mission is to transform used car commerce through digitalization, AI applications and integrated transaction services. We are dedicated to advancing used car dealers’ workflows from offline to online, from isolated to coordinated, and from manual to AI-empowered, thereby optimizing resource allocation across the industry.</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Who We Are</w:t>
      </w:r>
    </w:p>
    <w:p>
      <w:pPr>
        <w:spacing w:after="0" w:line="65"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We are the AI application infrastructure for China’s used car industry, holding over 90% market share in operating systems for China’s used car dealers since at least 2021, according to CIC. Building on this digital foundation, we further support used car dealers with essential transaction services across their workflows.</w:t>
      </w:r>
    </w:p>
    <w:p>
      <w:pPr>
        <w:spacing w:after="0" w:line="38"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Beyond used car dealers, we also work with other auto merchants, including OEMs, authorized dealers and new car brokers. Our services further engage and benefit thousands of dealers’ collaborators, such as inspectors, transporters and other internet platforms, creating an ecosystem with used car dealers at the center.</w:t>
      </w:r>
    </w:p>
    <w:p>
      <w:pPr>
        <w:spacing w:after="0" w:line="27"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Our unwavering focus on used car dealers’ success underpins everything we do and has made us mission critical to their business. We have built each of our service offerings around their workflows and evolving needs, as illustrated in the following diagram: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 w:name="page11"/>
    <w:bookmarkEnd w:id="1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520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59225" cy="5520690"/>
                    </a:xfrm>
                    <a:prstGeom prst="rect">
                      <a:avLst/>
                    </a:prstGeom>
                    <a:noFill/>
                  </pic:spPr>
                </pic:pic>
              </a:graphicData>
            </a:graphic>
          </wp:anchor>
        </w:drawing>
      </w:r>
    </w:p>
    <w:p>
      <w:pPr>
        <w:spacing w:after="0" w:line="288"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Unique Synergy and Flywheel</w:t>
      </w:r>
    </w:p>
    <w:p>
      <w:pPr>
        <w:spacing w:after="0" w:line="10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We have executed a clear and focused growth strategy laid out by our founders in 2013:</w:t>
      </w:r>
    </w:p>
    <w:p>
      <w:pPr>
        <w:spacing w:after="0" w:line="98" w:lineRule="exact"/>
        <w:rPr>
          <w:sz w:val="20"/>
          <w:szCs w:val="20"/>
          <w:color w:val="auto"/>
        </w:rPr>
      </w:pPr>
    </w:p>
    <w:p>
      <w:pPr>
        <w:ind w:left="1860" w:right="1458" w:hanging="130"/>
        <w:spacing w:after="0" w:line="271" w:lineRule="auto"/>
        <w:tabs>
          <w:tab w:leader="none" w:pos="1864" w:val="left"/>
        </w:tabs>
        <w:numPr>
          <w:ilvl w:val="0"/>
          <w:numId w:val="1"/>
        </w:numPr>
        <w:rPr>
          <w:rFonts w:ascii="Arial" w:cs="Arial" w:eastAsia="Arial" w:hAnsi="Arial"/>
          <w:sz w:val="11"/>
          <w:szCs w:val="11"/>
          <w:color w:val="auto"/>
        </w:rPr>
      </w:pPr>
      <w:r>
        <w:rPr>
          <w:rFonts w:ascii="Arial" w:cs="Arial" w:eastAsia="Arial" w:hAnsi="Arial"/>
          <w:sz w:val="14"/>
          <w:szCs w:val="14"/>
          <w:color w:val="auto"/>
        </w:rPr>
        <w:t>First, transform used car dealers’ daily operations through digitalization, significantly reducing inefficiencies; and</w:t>
      </w:r>
    </w:p>
    <w:p>
      <w:pPr>
        <w:spacing w:after="0" w:line="61"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
        </w:numPr>
        <w:rPr>
          <w:rFonts w:ascii="Arial" w:cs="Arial" w:eastAsia="Arial" w:hAnsi="Arial"/>
          <w:sz w:val="11"/>
          <w:szCs w:val="11"/>
          <w:color w:val="auto"/>
        </w:rPr>
      </w:pPr>
      <w:r>
        <w:rPr>
          <w:rFonts w:ascii="Arial" w:cs="Arial" w:eastAsia="Arial" w:hAnsi="Arial"/>
          <w:sz w:val="14"/>
          <w:szCs w:val="14"/>
          <w:color w:val="auto"/>
        </w:rPr>
        <w:t>Second, leveraging the data and dealer connections from our digitalization solutions, provide essential transaction services, including AI applications, to further enhance their efficiency and profitability.</w:t>
      </w:r>
    </w:p>
    <w:p>
      <w:pPr>
        <w:spacing w:after="0" w:line="76"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The integration of digitalization solutions and transaction services has created a uniquely strong bond between us and used car dealers. It also powers a self-reinforcing flywheel, in which our digital foundation provides high-frequency user engagement, data -driven insight and an industry-wide AI application infrastructure, while our transaction services deliver volume-driven revenue growth, deeper insight into dealers’ operations and stronger user stickiness — all of which in turn strengthens the digital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AI Applications and Outlook</w:t>
      </w:r>
    </w:p>
    <w:p>
      <w:pPr>
        <w:spacing w:after="0" w:line="86"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We believe auto commerce is being reshaped by AI, and that vertical AI agents — agents trained on industry-specific data and integrated into industry-specific workflows — will be essential to auto merchants’ competitiveness and profitability.</w:t>
      </w:r>
    </w:p>
    <w:p>
      <w:pPr>
        <w:spacing w:after="0" w:line="55"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Our long-standing position as the operating system for China’s used car industry gives us what we view as an unparalleled structural advantage in building and deploying such agents, drawing on two assets we have spent a decade assembling and that we believe would be difficult for anyone else to acquire:</w:t>
      </w:r>
    </w:p>
    <w:p>
      <w:pPr>
        <w:spacing w:after="0" w:line="79" w:lineRule="exact"/>
        <w:rPr>
          <w:sz w:val="20"/>
          <w:szCs w:val="20"/>
          <w:color w:val="auto"/>
        </w:rPr>
      </w:pPr>
    </w:p>
    <w:p>
      <w:pPr>
        <w:ind w:left="1880" w:hanging="150"/>
        <w:spacing w:after="0"/>
        <w:tabs>
          <w:tab w:leader="none" w:pos="1880" w:val="left"/>
        </w:tabs>
        <w:numPr>
          <w:ilvl w:val="0"/>
          <w:numId w:val="2"/>
        </w:numPr>
        <w:rPr>
          <w:rFonts w:ascii="Arial" w:cs="Arial" w:eastAsia="Arial" w:hAnsi="Arial"/>
          <w:sz w:val="11"/>
          <w:szCs w:val="11"/>
          <w:color w:val="auto"/>
        </w:rPr>
      </w:pPr>
      <w:r>
        <w:rPr>
          <w:rFonts w:ascii="Arial" w:cs="Arial" w:eastAsia="Arial" w:hAnsi="Arial"/>
          <w:sz w:val="14"/>
          <w:szCs w:val="14"/>
          <w:b w:val="1"/>
          <w:bCs w:val="1"/>
          <w:color w:val="auto"/>
        </w:rPr>
        <w:t>Massive, proprietary, granular, real-time industry data.</w:t>
      </w:r>
    </w:p>
    <w:p>
      <w:pPr>
        <w:spacing w:after="0" w:line="88" w:lineRule="exact"/>
        <w:rPr>
          <w:rFonts w:ascii="Arial" w:cs="Arial" w:eastAsia="Arial" w:hAnsi="Arial"/>
          <w:sz w:val="11"/>
          <w:szCs w:val="11"/>
          <w:color w:val="auto"/>
        </w:rPr>
      </w:pPr>
    </w:p>
    <w:p>
      <w:pPr>
        <w:jc w:val="both"/>
        <w:ind w:left="1860" w:right="1458"/>
        <w:spacing w:after="0" w:line="237" w:lineRule="auto"/>
        <w:rPr>
          <w:rFonts w:ascii="Arial" w:cs="Arial" w:eastAsia="Arial" w:hAnsi="Arial"/>
          <w:sz w:val="11"/>
          <w:szCs w:val="11"/>
          <w:color w:val="auto"/>
        </w:rPr>
      </w:pPr>
      <w:r>
        <w:rPr>
          <w:rFonts w:ascii="Arial" w:cs="Arial" w:eastAsia="Arial" w:hAnsi="Arial"/>
          <w:sz w:val="14"/>
          <w:szCs w:val="14"/>
          <w:color w:val="auto"/>
        </w:rPr>
        <w:t>Through our over-90% market share in operating systems, we have been embedded in the daily operations of over 50% of China’s used car dealers, factoring in the digitalization penetration rate, according to CIC. Our system manages over 50% of China’s used car inventory, identified by Vehicle Identification Number (“VIN”), at any given time, as well as over RMB1.0 billion of used car transaction value each day in January 2026, according to CIC. We assign over 300 data points to each dealer — covering location, staff, customers and collaborators — and over 70 data points to each vehicle, including specifications, condition, purchase cost, sale</w:t>
      </w:r>
    </w:p>
    <w:p>
      <w:pPr>
        <w:spacing w:after="0" w:line="26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 w:name="page12"/>
    <w:bookmarkEnd w:id="1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73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59225" cy="5731510"/>
                    </a:xfrm>
                    <a:prstGeom prst="rect">
                      <a:avLst/>
                    </a:prstGeom>
                    <a:noFill/>
                  </pic:spPr>
                </pic:pic>
              </a:graphicData>
            </a:graphic>
          </wp:anchor>
        </w:drawing>
      </w:r>
    </w:p>
    <w:p>
      <w:pPr>
        <w:spacing w:after="0" w:line="213" w:lineRule="exact"/>
        <w:rPr>
          <w:sz w:val="20"/>
          <w:szCs w:val="20"/>
          <w:color w:val="auto"/>
        </w:rPr>
      </w:pPr>
    </w:p>
    <w:p>
      <w:pPr>
        <w:jc w:val="both"/>
        <w:ind w:left="1860" w:right="1458"/>
        <w:spacing w:after="0" w:line="245" w:lineRule="auto"/>
        <w:rPr>
          <w:sz w:val="20"/>
          <w:szCs w:val="20"/>
          <w:color w:val="auto"/>
        </w:rPr>
      </w:pPr>
      <w:r>
        <w:rPr>
          <w:rFonts w:ascii="Arial" w:cs="Arial" w:eastAsia="Arial" w:hAnsi="Arial"/>
          <w:sz w:val="14"/>
          <w:szCs w:val="14"/>
          <w:color w:val="auto"/>
        </w:rPr>
        <w:t>price and inventory turnover days, all stored as proprietary data on our servers. Our operating system for new car brokers has likewise tracked real-time wholesale prices for over 90% of China’s new car models since 2021, according to CIC. We believe the breadth, granularity and timeliness of this data are unmatched in China’s used car industry.</w:t>
      </w:r>
    </w:p>
    <w:p>
      <w:pPr>
        <w:spacing w:after="0" w:line="69" w:lineRule="exact"/>
        <w:rPr>
          <w:sz w:val="20"/>
          <w:szCs w:val="20"/>
          <w:color w:val="auto"/>
        </w:rPr>
      </w:pPr>
    </w:p>
    <w:p>
      <w:pPr>
        <w:jc w:val="both"/>
        <w:ind w:left="1860" w:right="1458"/>
        <w:spacing w:after="0" w:line="236" w:lineRule="auto"/>
        <w:rPr>
          <w:sz w:val="20"/>
          <w:szCs w:val="20"/>
          <w:color w:val="auto"/>
        </w:rPr>
      </w:pPr>
      <w:r>
        <w:rPr>
          <w:rFonts w:ascii="Arial" w:cs="Arial" w:eastAsia="Arial" w:hAnsi="Arial"/>
          <w:sz w:val="14"/>
          <w:szCs w:val="14"/>
          <w:color w:val="auto"/>
        </w:rPr>
        <w:t>As foundational models become increasingly commoditized, the quality of a vertical AI agent is determined largely by the data it is trained on. In a domain as specialized as used car commerce, an effective AI agent must reliably determine which vehicle a dealer should acquire and at what cost, and how quickly a vehicle is likely to sell and at what price. These determinations depend on real-time, transaction-level data from within the market. Our data set provides precisely this input — a continuously updated record of what is bought and sold, at what prices, and how inventory moves across regions and among dealers and consumers. Because this data is proprietary to us, we believe it would be difficult for others to develop AI agents of comparable quality. As AI advances deeper into the industry, we expect our data advantage to widen our competitive lead and further solidify our position as the leading enabler of China’s used car commerce.</w:t>
      </w:r>
    </w:p>
    <w:p>
      <w:pPr>
        <w:spacing w:after="0" w:line="64" w:lineRule="exact"/>
        <w:rPr>
          <w:sz w:val="20"/>
          <w:szCs w:val="20"/>
          <w:color w:val="auto"/>
        </w:rPr>
      </w:pPr>
    </w:p>
    <w:p>
      <w:pPr>
        <w:jc w:val="both"/>
        <w:ind w:left="1860" w:right="1458"/>
        <w:spacing w:after="0" w:line="235" w:lineRule="auto"/>
        <w:rPr>
          <w:sz w:val="20"/>
          <w:szCs w:val="20"/>
          <w:color w:val="auto"/>
        </w:rPr>
      </w:pPr>
      <w:r>
        <w:rPr>
          <w:rFonts w:ascii="Arial" w:cs="Arial" w:eastAsia="Arial" w:hAnsi="Arial"/>
          <w:sz w:val="14"/>
          <w:szCs w:val="14"/>
          <w:color w:val="auto"/>
        </w:rPr>
        <w:t>Leveraging this invaluable data and the digital operating environment we have created, we have begun implementing AI agents within the micro-environment of an individual used car dealer’s daily operations, offering support in its two most costly functions: procurement and sales. The core skills of a procurement team are heavily data-driven: finding the right vehicle to match an existing customer lead, or deciding whether to acquire a vehicle based on its current supply-and-demand dynamics in the dealer’s home market and, if so, how much to offer to ensure a quick turnaround and a healthy margin. These are precisely the skills an AI agent trained on our system is suited to perform, drawing on real-time information on prices and inventory movements at a scale and speed beyond the capability of any individual procurement team. The skills of a sales team in many ways mirror the “matching” and “pricing” functions of procurement, but directed at consumers; by the same token, AI agents are well suited to support this function as well.</w:t>
      </w:r>
    </w:p>
    <w:p>
      <w:pPr>
        <w:spacing w:after="0" w:line="69" w:lineRule="exact"/>
        <w:rPr>
          <w:sz w:val="20"/>
          <w:szCs w:val="20"/>
          <w:color w:val="auto"/>
        </w:rPr>
      </w:pPr>
    </w:p>
    <w:p>
      <w:pPr>
        <w:jc w:val="both"/>
        <w:ind w:left="1860" w:right="1458"/>
        <w:spacing w:after="0" w:line="245" w:lineRule="auto"/>
        <w:rPr>
          <w:sz w:val="20"/>
          <w:szCs w:val="20"/>
          <w:color w:val="auto"/>
        </w:rPr>
      </w:pPr>
      <w:r>
        <w:rPr>
          <w:rFonts w:ascii="Arial" w:cs="Arial" w:eastAsia="Arial" w:hAnsi="Arial"/>
          <w:sz w:val="14"/>
          <w:szCs w:val="14"/>
          <w:color w:val="auto"/>
        </w:rPr>
        <w:t>At a typical dealership, these two functions together consume a substantial share of the dealer’s gross margin — we estimate approximately 40% to 50% based on our industry data</w:t>
      </w:r>
    </w:p>
    <w:p>
      <w:pPr>
        <w:spacing w:after="0" w:line="1" w:lineRule="exact"/>
        <w:rPr>
          <w:sz w:val="20"/>
          <w:szCs w:val="20"/>
          <w:color w:val="auto"/>
        </w:rPr>
      </w:pPr>
    </w:p>
    <w:p>
      <w:pPr>
        <w:ind w:left="1860" w:right="1458"/>
        <w:spacing w:after="0" w:line="244" w:lineRule="auto"/>
        <w:rPr>
          <w:sz w:val="20"/>
          <w:szCs w:val="20"/>
          <w:color w:val="auto"/>
        </w:rPr>
      </w:pPr>
      <w:r>
        <w:rPr>
          <w:rFonts w:ascii="Arial" w:cs="Arial" w:eastAsia="Arial" w:hAnsi="Arial"/>
          <w:sz w:val="14"/>
          <w:szCs w:val="14"/>
          <w:color w:val="auto"/>
        </w:rPr>
        <w:t>— making them both the most expensive functions to staff and, we believe, meaningful monetization opportunities for us.</w:t>
      </w:r>
    </w:p>
    <w:p>
      <w:pPr>
        <w:spacing w:after="0" w:line="70" w:lineRule="exact"/>
        <w:rPr>
          <w:sz w:val="20"/>
          <w:szCs w:val="20"/>
          <w:color w:val="auto"/>
        </w:rPr>
      </w:pPr>
    </w:p>
    <w:p>
      <w:pPr>
        <w:jc w:val="both"/>
        <w:ind w:left="1860" w:right="1458"/>
        <w:spacing w:after="0" w:line="239" w:lineRule="auto"/>
        <w:rPr>
          <w:sz w:val="20"/>
          <w:szCs w:val="20"/>
          <w:color w:val="auto"/>
        </w:rPr>
      </w:pPr>
      <w:r>
        <w:rPr>
          <w:rFonts w:ascii="Arial" w:cs="Arial" w:eastAsia="Arial" w:hAnsi="Arial"/>
          <w:sz w:val="14"/>
          <w:szCs w:val="14"/>
          <w:color w:val="auto"/>
        </w:rPr>
        <w:t>We began generating sales from pilot AI application in July 2025, totaling approximately RMB1.3 million as of the date of this prospectus. The modest sales indicate early but clear dealer acceptance of, and demand for, such AI agents. We are committed to continuously improving our AI agent offerings and expanding their monetization over time. As of the date of this prospectus, however, AI-related products have not contributed, and we do not expect them to contribute, a material portion of our total revenue in the near term.</w:t>
      </w:r>
    </w:p>
    <w:p>
      <w:pPr>
        <w:spacing w:after="0" w:line="76" w:lineRule="exact"/>
        <w:rPr>
          <w:sz w:val="20"/>
          <w:szCs w:val="20"/>
          <w:color w:val="auto"/>
        </w:rPr>
      </w:pPr>
    </w:p>
    <w:p>
      <w:pPr>
        <w:ind w:left="1880" w:hanging="150"/>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b w:val="1"/>
          <w:bCs w:val="1"/>
          <w:color w:val="auto"/>
        </w:rPr>
        <w:t>End-to-end transaction service matrix to go from information to execution.</w:t>
      </w:r>
    </w:p>
    <w:p>
      <w:pPr>
        <w:spacing w:after="0" w:line="98" w:lineRule="exact"/>
        <w:rPr>
          <w:rFonts w:ascii="Arial" w:cs="Arial" w:eastAsia="Arial" w:hAnsi="Arial"/>
          <w:sz w:val="11"/>
          <w:szCs w:val="11"/>
          <w:color w:val="auto"/>
        </w:rPr>
      </w:pPr>
    </w:p>
    <w:p>
      <w:pPr>
        <w:jc w:val="both"/>
        <w:ind w:left="1860" w:right="1458"/>
        <w:spacing w:after="0" w:line="251" w:lineRule="auto"/>
        <w:rPr>
          <w:rFonts w:ascii="Arial" w:cs="Arial" w:eastAsia="Arial" w:hAnsi="Arial"/>
          <w:sz w:val="11"/>
          <w:szCs w:val="11"/>
          <w:color w:val="auto"/>
        </w:rPr>
      </w:pPr>
      <w:r>
        <w:rPr>
          <w:rFonts w:ascii="Arial" w:cs="Arial" w:eastAsia="Arial" w:hAnsi="Arial"/>
          <w:sz w:val="14"/>
          <w:szCs w:val="14"/>
          <w:color w:val="auto"/>
        </w:rPr>
        <w:t>To be truly agentic — as opposed to being a mere chatbot or single-purpose tool — an AI agent must be able to execute. In used car commerce, an effective AI agent should ideally be able to get the vehicle sourced, inspected, purchased and delivered.</w:t>
      </w:r>
    </w:p>
    <w:p>
      <w:pPr>
        <w:spacing w:after="0" w:line="55" w:lineRule="exact"/>
        <w:rPr>
          <w:rFonts w:ascii="Arial" w:cs="Arial" w:eastAsia="Arial" w:hAnsi="Arial"/>
          <w:sz w:val="11"/>
          <w:szCs w:val="11"/>
          <w:color w:val="auto"/>
        </w:rPr>
      </w:pPr>
    </w:p>
    <w:p>
      <w:pPr>
        <w:jc w:val="both"/>
        <w:ind w:left="1860" w:right="1458"/>
        <w:spacing w:after="0" w:line="236" w:lineRule="auto"/>
        <w:rPr>
          <w:rFonts w:ascii="Arial" w:cs="Arial" w:eastAsia="Arial" w:hAnsi="Arial"/>
          <w:sz w:val="11"/>
          <w:szCs w:val="11"/>
          <w:color w:val="auto"/>
        </w:rPr>
      </w:pPr>
      <w:r>
        <w:rPr>
          <w:rFonts w:ascii="Arial" w:cs="Arial" w:eastAsia="Arial" w:hAnsi="Arial"/>
          <w:sz w:val="14"/>
          <w:szCs w:val="14"/>
          <w:color w:val="auto"/>
        </w:rPr>
        <w:t>We believe we have the right capabilities to bring about truly agentic AI applications in China’s used car commerce. We are uniquely positioned to locate a desired vehicle within the vast database of dealers’ Enterprise Resources Planning (“ERP”) entries on our system, to communicate promptly with the right dealer through their work app, to have the vehicle inspected by our reliable inspection service, to enter into a contract electronically through our digital platform, and to physically move and deliver the vehicle to the buyer’s doorstep, with all necessary vehicle registration paperwork completed by our representatives. We believe these whole-suite execution capabilities will make us a valuable partner to the general-purpose AI platforms that serve as consumer traffic gateways, as these platforms increasingly seek to collaborate with vertical industry players.</w:t>
      </w:r>
    </w:p>
    <w:p>
      <w:pPr>
        <w:spacing w:after="0" w:line="26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 w:name="page13"/>
    <w:bookmarkEnd w:id="1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70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59225" cy="5705475"/>
                    </a:xfrm>
                    <a:prstGeom prst="rect">
                      <a:avLst/>
                    </a:prstGeom>
                    <a:noFill/>
                  </pic:spPr>
                </pic:pic>
              </a:graphicData>
            </a:graphic>
          </wp:anchor>
        </w:drawing>
      </w:r>
    </w:p>
    <w:p>
      <w:pPr>
        <w:spacing w:after="0" w:line="234"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The following diagram illustrates how our AI agents deliver real results, empowering ZICHI, a used car dealer located in Kunming, Yunnan Province: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Monetization</w:t>
      </w:r>
    </w:p>
    <w:p>
      <w:pPr>
        <w:spacing w:after="0" w:line="65"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We monetize both digitalization and transaction services in a deliberately planned sequence. Given that the addressable market for transaction services is significantly larger than that of digitalization solutions in China’s used car industry, we expect the majority of our revenues to come from transaction services.</w:t>
      </w:r>
    </w:p>
    <w:p>
      <w:pPr>
        <w:spacing w:after="0" w:line="48"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 xml:space="preserve">Our decision to offer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our flagship digitalization solutions, largely for free to used car dealers is a deliberate strategic choice and one of the most important decisions we have made. By making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the de facto default operating system for used car dealers across China, we have built the foundation that allows us to monetize transaction services at scale today, deploy AI applications that we believe will reshape how the industry operates tomorrow, and sustain our competitive position over the long term. Without this digital foundation, none of this would be possible.</w:t>
      </w:r>
    </w:p>
    <w:p>
      <w:pPr>
        <w:spacing w:after="0" w:line="45" w:lineRule="exact"/>
        <w:rPr>
          <w:sz w:val="20"/>
          <w:szCs w:val="20"/>
          <w:color w:val="auto"/>
        </w:rPr>
      </w:pPr>
    </w:p>
    <w:p>
      <w:pPr>
        <w:jc w:val="both"/>
        <w:ind w:left="1480" w:right="1458" w:firstLine="249"/>
        <w:spacing w:after="0" w:line="234" w:lineRule="auto"/>
        <w:rPr>
          <w:sz w:val="20"/>
          <w:szCs w:val="20"/>
          <w:color w:val="auto"/>
        </w:rPr>
      </w:pPr>
      <w:r>
        <w:rPr>
          <w:rFonts w:ascii="Arial" w:cs="Arial" w:eastAsia="Arial" w:hAnsi="Arial"/>
          <w:sz w:val="14"/>
          <w:szCs w:val="14"/>
          <w:color w:val="auto"/>
        </w:rPr>
        <w:t xml:space="preserve">We had 226,852, 238,960 and 228,473 “active users,” respectively, 27,779, 28,412 and 30,297 “monetized dealers and brokers,” respectively, and 1,127,727, 986,687 and 1,023,409 of “monetized transactions,” respectively, in 2023, 2024 and 2025. “Active users” for a given period refers to auto merchants who accessed our digitalization platforms, i.e.,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used car dealers and </w:t>
      </w:r>
      <w:r>
        <w:rPr>
          <w:rFonts w:ascii="Arial" w:cs="Arial" w:eastAsia="Arial" w:hAnsi="Arial"/>
          <w:sz w:val="14"/>
          <w:szCs w:val="14"/>
          <w:i w:val="1"/>
          <w:iCs w:val="1"/>
          <w:color w:val="auto"/>
        </w:rPr>
        <w:t>CheHang</w:t>
      </w:r>
      <w:r>
        <w:rPr>
          <w:rFonts w:ascii="Arial" w:cs="Arial" w:eastAsia="Arial" w:hAnsi="Arial"/>
          <w:sz w:val="14"/>
          <w:szCs w:val="14"/>
          <w:color w:val="auto"/>
        </w:rPr>
        <w:t xml:space="preserve"> 168 for new car brokers, at least once during that period. “Monetized dealers and brokers” refer to used car dealers and new car brokers from whom we generate revenues either directly from fees received from them or indirectly from their collaborators for either digitalization solutions or transaction services. “Monetized transactions” refer to total transaction services volume, including B2B transaction facilitation, used car inspection and certification, financial product referral and single car delivery. All of our monetized dealers and brokers came from our active users, yet given that we are still at an early stage of monetizing transaction services, a significant portion of our active users have not contributed to our revenue and are to be converted into monetized dealers and brokers. In 2023, 2024 and 2025, 83,467, 87,318 and 77,485 of our “active users” have used our transaction services, including certain free-of-charge services, at least once, respectively. We expect the penetration of our transaction services to continue to grow among our active users and their collaborators.</w:t>
      </w:r>
    </w:p>
    <w:p>
      <w:pPr>
        <w:spacing w:after="0" w:line="26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 w:name="page14"/>
    <w:bookmarkEnd w:id="1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6160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59225" cy="6160135"/>
                    </a:xfrm>
                    <a:prstGeom prst="rect">
                      <a:avLst/>
                    </a:prstGeom>
                    <a:noFill/>
                  </pic:spPr>
                </pic:pic>
              </a:graphicData>
            </a:graphic>
          </wp:anchor>
        </w:drawing>
      </w:r>
    </w:p>
    <w:p>
      <w:pPr>
        <w:spacing w:after="0" w:line="193"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The ARPU of our monetized dealers and brokers was RMB17,537 in 2023 based on total revenues of RMB487.2 million, RMB17,304 in 2024 based on total revenues of RMB491.6 million, and RMB7,379 in 2025 based on total revenues of RMB233.6 million. The ARPU of our monetized dealers and brokers decreased in 2025 primarily attributable to the Disposition of our financial product referral services as well as the increase in the number of monetized dealers and brokers. Revenues used to calculate ARPU include the revenues generated from digitalization solutions and transaction services to dealers and brokers and do not include revenues from OEMs and other customers. These other customers are primarily auto trading companies and financial institutions that use our warehousing services. In 2023, 2024 and 2025, we generated revenues of RMB117.1 million, RMB123.4 million and RMB186.8 million (US$26.7 million) from such other customers, respectively. See “— Conventions Which Apply to This Prospectus” for more information about ARPU.</w:t>
      </w:r>
    </w:p>
    <w:p>
      <w:pPr>
        <w:spacing w:after="0" w:line="59"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We generate revenue primarily from transaction services and to a lesser extent, digitalization solutions. Our total revenues increased by 4.3% from RMB909.0 million in 2023 to RMB948.2 million in 2024, and decreased by 28.6% to RMB677.1 million (US$96.8 million) in 2025. The decrease in 2025 was primarily attributable to the Disposition in December 2024. As we continue to invest in technology and growth, we recorded net loss of RMB186.6 million, RMB157.1 million and RMB94.6 million (US$13.5 million) in 2023, 2024 and 2025, respectively. Furthermore, we recorded adjusted net loss of RMB159.5 million, RMB134.8 million and RMB71.4 million (US$ 10.2 million) in 2023, 2024 and 2025, respectively. For a reconciliation of adjusted net loss to net loss, see “Management’s Discussion and Analysis of Financial Condition and Results of Operations — Non-GAAP Financial Measure.”</w:t>
      </w:r>
    </w:p>
    <w:p>
      <w:pPr>
        <w:spacing w:after="0" w:line="46"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Sales attributable to AI-enabled products and services totaled approximately RMB1.3 million for the period from July 2025 through the date of this prospectus, generated from 1,008 used car dealers across 176 cities in 32 provinces. These amounts are recognized as revenue over the applicable service term, ranging from one month to one year, depending on the product category. As of the date of this prospectus, AI-related products have not contributed, and we do not expect them to contribute, a material portion of our total revenue in the near term. Our AI monetization remains in an early, pilot stage, and we have not yet established a recurring or scalable AI revenue stream.</w:t>
      </w:r>
    </w:p>
    <w:p>
      <w:pPr>
        <w:spacing w:after="0" w:line="100"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Moat</w:t>
      </w:r>
    </w:p>
    <w:p>
      <w:pPr>
        <w:spacing w:after="0" w:line="65"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We believe we have built a strong moat anchored by three major assets, each of which makes our platform progressively harder to replace for used car dealers.</w:t>
      </w:r>
    </w:p>
    <w:p>
      <w:pPr>
        <w:spacing w:after="0" w:line="95"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Operating System for Daily Operations – Highly Costly to Switch</w:t>
      </w:r>
    </w:p>
    <w:p>
      <w:pPr>
        <w:spacing w:after="0" w:line="96"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 xml:space="preserve">We provide the core business operating system, not a single-purpose tool, for used car dealers.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covers every work aspect from granular inventory specifications to customer profiles,</w:t>
      </w:r>
      <w:r>
        <w:rPr>
          <w:rFonts w:ascii="Arial" w:cs="Arial" w:eastAsia="Arial" w:hAnsi="Arial"/>
          <w:sz w:val="14"/>
          <w:szCs w:val="14"/>
          <w:i w:val="1"/>
          <w:iCs w:val="1"/>
          <w:color w:val="auto"/>
        </w:rPr>
        <w:t xml:space="preserve"> </w:t>
      </w:r>
      <w:r>
        <w:rPr>
          <w:rFonts w:ascii="Arial" w:cs="Arial" w:eastAsia="Arial" w:hAnsi="Arial"/>
          <w:sz w:val="14"/>
          <w:szCs w:val="14"/>
          <w:color w:val="auto"/>
        </w:rPr>
        <w:t>from employee performance to third-party platform interfaces, and from current business analytics to historical financial data. Switching away from us is inherently challenging and costly: a dealer would have to re-tune almost every aspect of its operations and lose nearly all of the data and records accumulated on our system that are not available for export.</w:t>
      </w:r>
    </w:p>
    <w:p>
      <w:pPr>
        <w:spacing w:after="0" w:line="119"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Integrated Transaction Services — Increased Intertwinement</w:t>
      </w:r>
    </w:p>
    <w:p>
      <w:pPr>
        <w:spacing w:after="0" w:line="86"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We further deepened our relationship with used car dealers by providing essential transaction services along dealers’ work streams, from inventory acquisition (B2B transaction facilitation), to used car inspection, car delivery, online store management, and final sale. As dealers use more of our services, we become increasingly intertwined with their day-to-day operations, further strengthening our relationship.</w:t>
      </w:r>
    </w:p>
    <w:p>
      <w:pPr>
        <w:spacing w:after="0" w:line="107"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Established Business Network — “Work Friends’ Circle” Effect</w:t>
      </w:r>
    </w:p>
    <w:p>
      <w:pPr>
        <w:spacing w:after="0" w:line="96" w:lineRule="exact"/>
        <w:rPr>
          <w:sz w:val="20"/>
          <w:szCs w:val="20"/>
          <w:color w:val="auto"/>
        </w:rPr>
      </w:pPr>
    </w:p>
    <w:p>
      <w:pPr>
        <w:jc w:val="both"/>
        <w:ind w:left="1480" w:right="1458" w:firstLine="249"/>
        <w:spacing w:after="0" w:line="261" w:lineRule="auto"/>
        <w:rPr>
          <w:sz w:val="20"/>
          <w:szCs w:val="20"/>
          <w:color w:val="auto"/>
        </w:rPr>
      </w:pPr>
      <w:r>
        <w:rPr>
          <w:rFonts w:ascii="Arial" w:cs="Arial" w:eastAsia="Arial" w:hAnsi="Arial"/>
          <w:sz w:val="13"/>
          <w:szCs w:val="13"/>
          <w:color w:val="auto"/>
        </w:rPr>
        <w:t xml:space="preserve">We fostered interdependence among used car dealers on </w:t>
      </w:r>
      <w:r>
        <w:rPr>
          <w:rFonts w:ascii="Arial" w:cs="Arial" w:eastAsia="Arial" w:hAnsi="Arial"/>
          <w:sz w:val="13"/>
          <w:szCs w:val="13"/>
          <w:i w:val="1"/>
          <w:iCs w:val="1"/>
          <w:color w:val="auto"/>
        </w:rPr>
        <w:t>DaFengChe</w:t>
      </w:r>
      <w:r>
        <w:rPr>
          <w:rFonts w:ascii="Arial" w:cs="Arial" w:eastAsia="Arial" w:hAnsi="Arial"/>
          <w:sz w:val="13"/>
          <w:szCs w:val="13"/>
          <w:color w:val="auto"/>
        </w:rPr>
        <w:t xml:space="preserve"> and ended up becoming their business network. For example, our platform housed 11,927 self-organized “dealer alliances” as of December 31, 2025 — a form of “work friends’ circle” in which dealers trust one another to share inventories. 4,169 inspectors and 4,067 logistics companies were also active on our platform as of December 31, 2025. Replicating this business network would require persuading most of the participating dealers to migrate in concert, which we believe is highly difficult to achieve.</w:t>
      </w:r>
    </w:p>
    <w:p>
      <w:pPr>
        <w:spacing w:after="0" w:line="23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 w:name="page15"/>
    <w:bookmarkEnd w:id="1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777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59225" cy="5777865"/>
                    </a:xfrm>
                    <a:prstGeom prst="rect">
                      <a:avLst/>
                    </a:prstGeom>
                    <a:noFill/>
                  </pic:spPr>
                </pic:pic>
              </a:graphicData>
            </a:graphic>
          </wp:anchor>
        </w:drawing>
      </w:r>
    </w:p>
    <w:p>
      <w:pPr>
        <w:spacing w:after="0" w:line="234"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 xml:space="preserve">This moat is evidenced by our long-standing relationships with the best and strongest in the industry: as of December 31, 2025, 66 of the top 100 used car dealers in China in 2025, as ranked by the China Automobile Dealers Association, had used our operating system,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more than five years, and 93 of them had used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more than two years. It is also evidenced by the enduring user loyalty we enjoy: of the top 100 used car dealers by inventory count on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as of December 31, 2018, 100% remained on our system as of December 31, 2025, other than those that have gone out of business.</w:t>
      </w:r>
    </w:p>
    <w:p>
      <w:pPr>
        <w:spacing w:after="0" w:line="140"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Where We Operate</w:t>
      </w:r>
    </w:p>
    <w:p>
      <w:pPr>
        <w:spacing w:after="0" w:line="76"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All of our operations are in China, the world’s largest automotive market, with a total car parc of 320.5 million in 2025, according to CIC. Despite its massive scale, China’s car parc is expected to continue growing to 382.1 million by 2030, a CAGR of 3.6%, supported by the still-low level of car ownership relative to its population, according to the same source.</w:t>
      </w:r>
    </w:p>
    <w:p>
      <w:pPr>
        <w:spacing w:after="0" w:line="48"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The impressive growth in China’s used car market is fundamentally driven by the country’s large and fast-growing car parc, coupled with its rising car parc age and favorable government policies. The transaction volume of used cars in China is expected to grow from 15.2 million in 2025 to 21.2 million in 2030, at a CAGR of 6.8%, and used car sales as a percentage of total car sales are expected to rise from 33.6% to 35.9% over the same period, according to CIC.</w:t>
      </w:r>
    </w:p>
    <w:p>
      <w:pPr>
        <w:spacing w:after="0" w:line="53"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As for new cars, China has been the world’s largest new car market in terms of sales volume since 2009, according to CIC, thanks to its sustained economic growth and accelerated urbanization. China’s new car sales volume reached 30.1 million in 2025 and is expected to increase further to 37.9 million in 2030, representing a CAGR of 4.7% over the period, according to CIC.</w:t>
      </w:r>
    </w:p>
    <w:p>
      <w:pPr>
        <w:spacing w:after="0" w:line="53"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China’s new car market has seen a tremendous rise of EVs, which is driving a transformative shift in new car sales away from the traditional dealer-centric model towards a direct-to-consumers, or DTC, approach. The DTC sales model requires OEMs to venture into new areas, including leads conversion, order-driven manufacturing, car delivery and after-sales services, all with a focus on engaging directly with customers.</w:t>
      </w:r>
    </w:p>
    <w:p>
      <w:pPr>
        <w:spacing w:after="0" w:line="53"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The following diagram illustrates the key participants and transaction flows within each of the used car and new car markets. The areas bordered with dotted lines represent the participants and the transaction flows we currently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25" w:lineRule="exact"/>
        <w:rPr>
          <w:sz w:val="20"/>
          <w:szCs w:val="20"/>
          <w:color w:val="auto"/>
        </w:rPr>
      </w:pPr>
    </w:p>
    <w:p>
      <w:pPr>
        <w:jc w:val="both"/>
        <w:ind w:left="2060" w:right="1458" w:hanging="580"/>
        <w:spacing w:after="0" w:line="250" w:lineRule="auto"/>
        <w:tabs>
          <w:tab w:leader="none" w:pos="2040" w:val="left"/>
        </w:tabs>
        <w:rPr>
          <w:sz w:val="20"/>
          <w:szCs w:val="20"/>
          <w:color w:val="auto"/>
        </w:rPr>
      </w:pPr>
      <w:r>
        <w:rPr>
          <w:rFonts w:ascii="Arial" w:cs="Arial" w:eastAsia="Arial" w:hAnsi="Arial"/>
          <w:sz w:val="11"/>
          <w:szCs w:val="11"/>
          <w:b w:val="1"/>
          <w:bCs w:val="1"/>
          <w:color w:val="auto"/>
        </w:rPr>
        <w:t>Note</w:t>
      </w:r>
      <w:r>
        <w:rPr>
          <w:rFonts w:ascii="Arial" w:cs="Arial" w:eastAsia="Arial" w:hAnsi="Arial"/>
          <w:sz w:val="11"/>
          <w:szCs w:val="11"/>
          <w:color w:val="auto"/>
        </w:rPr>
        <w:t>: (1)</w:t>
      </w:r>
      <w:r>
        <w:rPr>
          <w:sz w:val="20"/>
          <w:szCs w:val="20"/>
          <w:color w:val="auto"/>
        </w:rPr>
        <w:tab/>
      </w:r>
      <w:r>
        <w:rPr>
          <w:rFonts w:ascii="Arial" w:cs="Arial" w:eastAsia="Arial" w:hAnsi="Arial"/>
          <w:sz w:val="11"/>
          <w:szCs w:val="11"/>
          <w:color w:val="auto"/>
        </w:rPr>
        <w:t>The percentage figures alongside the arrows represent the approximate contribution by the corresponding channel to the total transaction volume in 2025.</w:t>
      </w:r>
    </w:p>
    <w:p>
      <w:pPr>
        <w:spacing w:after="0" w:line="69" w:lineRule="exact"/>
        <w:rPr>
          <w:sz w:val="20"/>
          <w:szCs w:val="20"/>
          <w:color w:val="auto"/>
        </w:rPr>
      </w:pPr>
    </w:p>
    <w:p>
      <w:pPr>
        <w:ind w:left="1480"/>
        <w:spacing w:after="0"/>
        <w:rPr>
          <w:sz w:val="20"/>
          <w:szCs w:val="20"/>
          <w:color w:val="auto"/>
        </w:rPr>
      </w:pPr>
      <w:r>
        <w:rPr>
          <w:rFonts w:ascii="Arial" w:cs="Arial" w:eastAsia="Arial" w:hAnsi="Arial"/>
          <w:sz w:val="14"/>
          <w:szCs w:val="14"/>
          <w:i w:val="1"/>
          <w:iCs w:val="1"/>
          <w:color w:val="auto"/>
        </w:rPr>
        <w:t>Source: China Insights Consultancy</w:t>
      </w:r>
    </w:p>
    <w:p>
      <w:pPr>
        <w:spacing w:after="0" w:line="2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 w:name="page16"/>
    <w:bookmarkEnd w:id="1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178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59225" cy="5178425"/>
                    </a:xfrm>
                    <a:prstGeom prst="rect">
                      <a:avLst/>
                    </a:prstGeom>
                    <a:noFill/>
                  </pic:spPr>
                </pic:pic>
              </a:graphicData>
            </a:graphic>
          </wp:anchor>
        </w:drawing>
      </w:r>
    </w:p>
    <w:p>
      <w:pPr>
        <w:spacing w:after="0" w:line="234"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In the used car space, auto merchants include (i) used car dealers and (ii) the used car divisions of authorized dealers. They account for approximately 40% and 40%, respectively, of used cars sourced from consumers, and for 88% and 2%, respectively, of China’s used car sales to consumers in 2025, according to CIC. Authorized dealers sell a substantial portion of their used cars — representing 38% of the total number of used cars sourced from consumers — to used car dealers, according to CIC. In the new car space, key participants mainly include OEMs, authorized dealers and new car brokers. Authorized dealers and new car brokers represent approximately 43% and 45%, respectively, of total new car sales to consumers in 2025, according to CIC. Authorized dealers are facing challenges from OEMs’ adoption of the DTC model, with new car brokers facilitating more direct sales from OEMs to consumers, particularly in lower-tier cities.</w:t>
      </w:r>
    </w:p>
    <w:p>
      <w:pPr>
        <w:spacing w:after="0" w:line="77" w:lineRule="exact"/>
        <w:rPr>
          <w:sz w:val="20"/>
          <w:szCs w:val="20"/>
          <w:color w:val="auto"/>
        </w:rPr>
      </w:pPr>
    </w:p>
    <w:p>
      <w:pPr>
        <w:ind w:left="1740"/>
        <w:spacing w:after="0"/>
        <w:rPr>
          <w:sz w:val="20"/>
          <w:szCs w:val="20"/>
          <w:color w:val="auto"/>
        </w:rPr>
      </w:pPr>
      <w:r>
        <w:rPr>
          <w:rFonts w:ascii="Arial" w:cs="Arial" w:eastAsia="Arial" w:hAnsi="Arial"/>
          <w:sz w:val="14"/>
          <w:szCs w:val="14"/>
          <w:u w:val="single" w:color="auto"/>
          <w:color w:val="auto"/>
        </w:rPr>
        <w:t>Used car dealers in China face several critical challenges.</w:t>
      </w:r>
    </w:p>
    <w:p>
      <w:pPr>
        <w:spacing w:after="0" w:line="109" w:lineRule="exact"/>
        <w:rPr>
          <w:sz w:val="20"/>
          <w:szCs w:val="20"/>
          <w:color w:val="auto"/>
        </w:rPr>
      </w:pPr>
    </w:p>
    <w:p>
      <w:pPr>
        <w:jc w:val="both"/>
        <w:ind w:left="1860" w:right="1458" w:hanging="130"/>
        <w:spacing w:after="0" w:line="245" w:lineRule="auto"/>
        <w:tabs>
          <w:tab w:leader="none" w:pos="1864"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Large in number, small in scale and geographically dispersed. </w:t>
      </w:r>
      <w:r>
        <w:rPr>
          <w:rFonts w:ascii="Arial" w:cs="Arial" w:eastAsia="Arial" w:hAnsi="Arial"/>
          <w:sz w:val="14"/>
          <w:szCs w:val="14"/>
          <w:color w:val="auto"/>
        </w:rPr>
        <w:t>Used car dealers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China are numerous, small in scale and widely dispersed, resulting in a deep mismatch between the supply of and demand for used cars, difficulty in maintaining credibility, and a lack of the capabilities and resources needed to handle complex car transactions.</w:t>
      </w:r>
    </w:p>
    <w:p>
      <w:pPr>
        <w:spacing w:after="0" w:line="79" w:lineRule="exact"/>
        <w:rPr>
          <w:rFonts w:ascii="Arial" w:cs="Arial" w:eastAsia="Arial" w:hAnsi="Arial"/>
          <w:sz w:val="11"/>
          <w:szCs w:val="11"/>
          <w:color w:val="auto"/>
        </w:rPr>
      </w:pPr>
    </w:p>
    <w:p>
      <w:pPr>
        <w:jc w:val="both"/>
        <w:ind w:left="1860" w:right="1458" w:hanging="130"/>
        <w:spacing w:after="0" w:line="239" w:lineRule="auto"/>
        <w:tabs>
          <w:tab w:leader="none" w:pos="1864"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Lack of a steady institutional supply of vehicles. </w:t>
      </w:r>
      <w:r>
        <w:rPr>
          <w:rFonts w:ascii="Arial" w:cs="Arial" w:eastAsia="Arial" w:hAnsi="Arial"/>
          <w:sz w:val="14"/>
          <w:szCs w:val="14"/>
          <w:color w:val="auto"/>
        </w:rPr>
        <w:t>Unlike in more mature markets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the United States — where rental fleets, leasing companies, financial institutions and franchise trade-ins channel a large and predictable flow of used cars into the market — China has only a small institutional supply base. As a result, used car dealers must source most of their inventory from dispersed individual consumers, an inherently irregular and unpredictable channel that makes consistent, high-quality inventory difficult to secure.</w:t>
      </w:r>
    </w:p>
    <w:p>
      <w:pPr>
        <w:spacing w:after="0" w:line="75" w:lineRule="exact"/>
        <w:rPr>
          <w:rFonts w:ascii="Arial" w:cs="Arial" w:eastAsia="Arial" w:hAnsi="Arial"/>
          <w:sz w:val="11"/>
          <w:szCs w:val="11"/>
          <w:color w:val="auto"/>
        </w:rPr>
      </w:pPr>
    </w:p>
    <w:p>
      <w:pPr>
        <w:jc w:val="both"/>
        <w:ind w:left="1860" w:right="1458" w:hanging="130"/>
        <w:spacing w:after="0" w:line="238" w:lineRule="auto"/>
        <w:tabs>
          <w:tab w:leader="none" w:pos="1864"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Complex nature of car transactions. </w:t>
      </w:r>
      <w:r>
        <w:rPr>
          <w:rFonts w:ascii="Arial" w:cs="Arial" w:eastAsia="Arial" w:hAnsi="Arial"/>
          <w:sz w:val="14"/>
          <w:szCs w:val="14"/>
          <w:color w:val="auto"/>
        </w:rPr>
        <w:t>Used car transactions are inherently complex,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requiring a high degree of informational and operational coordination among various collaborators, both online and offline. Very few used car dealers in China, however, have the scale or resources to coordinate effectively with these collaborators. Many collaborators, such as individual inspectors and transporters, are themselves small in scale and geographically dispersed, and offer little assurance of quality or reliability — adding implicit costs for used car dealers.</w:t>
      </w:r>
    </w:p>
    <w:p>
      <w:pPr>
        <w:spacing w:after="0" w:line="86" w:lineRule="exact"/>
        <w:rPr>
          <w:rFonts w:ascii="Arial" w:cs="Arial" w:eastAsia="Arial" w:hAnsi="Arial"/>
          <w:sz w:val="11"/>
          <w:szCs w:val="11"/>
          <w:color w:val="auto"/>
        </w:rPr>
      </w:pPr>
    </w:p>
    <w:p>
      <w:pPr>
        <w:jc w:val="both"/>
        <w:ind w:left="1860" w:right="1458" w:hanging="130"/>
        <w:spacing w:after="0" w:line="241" w:lineRule="auto"/>
        <w:tabs>
          <w:tab w:leader="none" w:pos="1864"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Volatile new car prices. </w:t>
      </w:r>
      <w:r>
        <w:rPr>
          <w:rFonts w:ascii="Arial" w:cs="Arial" w:eastAsia="Arial" w:hAnsi="Arial"/>
          <w:sz w:val="14"/>
          <w:szCs w:val="14"/>
          <w:color w:val="auto"/>
        </w:rPr>
        <w:t>Intense competition among China’s new car brands, particularly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among EV makers, has made new car prices highly volatile. Because used car values are anchored to the prices of comparable new cars, this volatility flows directly into the used car market, complicating dealers’ acquisition and pricing decisions and exposing them to the risk of sudden inventory write-downs.</w:t>
      </w:r>
    </w:p>
    <w:p>
      <w:pPr>
        <w:spacing w:after="0" w:line="84"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Low credibility. </w:t>
      </w:r>
      <w:r>
        <w:rPr>
          <w:rFonts w:ascii="Arial" w:cs="Arial" w:eastAsia="Arial" w:hAnsi="Arial"/>
          <w:sz w:val="14"/>
          <w:szCs w:val="14"/>
          <w:color w:val="auto"/>
        </w:rPr>
        <w:t>Owing to their limited scale and marketing resources, most used car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dealers struggle to establish credibility, resulting in low conversion rates.</w:t>
      </w:r>
    </w:p>
    <w:p>
      <w:pPr>
        <w:spacing w:after="0" w:line="51"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Against the backdrop of such a vast, evolving and intensely competitive market, we believe our position as the digital infrastructure and enabler — committed to helping used car dealers overcome these challenges, rather than competing as one of them — positions us well to benefit from the growth of China’s auto commerce industry, regardless of the competition within it.</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Our Service Offerings</w:t>
      </w:r>
    </w:p>
    <w:p>
      <w:pPr>
        <w:spacing w:after="0" w:line="107"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We have built our service offering under the strategy of “digitalization first, services next,” with the unwavering goal of helping used car dealers increase efficiency, lower costs and enhance profitability.</w:t>
      </w: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 w:name="page17"/>
    <w:bookmarkEnd w:id="1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49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59225" cy="5949315"/>
                    </a:xfrm>
                    <a:prstGeom prst="rect">
                      <a:avLst/>
                    </a:prstGeom>
                    <a:noFill/>
                  </pic:spPr>
                </pic:pic>
              </a:graphicData>
            </a:graphic>
          </wp:anchor>
        </w:drawing>
      </w:r>
    </w:p>
    <w:p>
      <w:pPr>
        <w:spacing w:after="0" w:line="246"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Digitalization solutions</w:t>
      </w:r>
    </w:p>
    <w:p>
      <w:pPr>
        <w:spacing w:after="0" w:line="86"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As a pioneer in China of mobile-based software tools and systems for used car dealers, we brought the industry what was historically unavailable, transforming the inefficient manual processes of hundreds of thousands of dealers with digitalized, integrated solutions.</w:t>
      </w:r>
    </w:p>
    <w:p>
      <w:pPr>
        <w:spacing w:after="0" w:line="66" w:lineRule="exact"/>
        <w:rPr>
          <w:sz w:val="20"/>
          <w:szCs w:val="20"/>
          <w:color w:val="auto"/>
        </w:rPr>
      </w:pPr>
    </w:p>
    <w:p>
      <w:pPr>
        <w:jc w:val="both"/>
        <w:ind w:left="1860" w:right="1458" w:hanging="130"/>
        <w:spacing w:after="0" w:line="251" w:lineRule="auto"/>
        <w:tabs>
          <w:tab w:leader="none" w:pos="1864" w:val="left"/>
        </w:tabs>
        <w:numPr>
          <w:ilvl w:val="0"/>
          <w:numId w:val="6"/>
        </w:numPr>
        <w:rPr>
          <w:rFonts w:ascii="Arial" w:cs="Arial" w:eastAsia="Arial" w:hAnsi="Arial"/>
          <w:sz w:val="11"/>
          <w:szCs w:val="11"/>
          <w:color w:val="auto"/>
        </w:rPr>
      </w:pPr>
      <w:r>
        <w:rPr>
          <w:rFonts w:ascii="Arial" w:cs="Arial" w:eastAsia="Arial" w:hAnsi="Arial"/>
          <w:sz w:val="14"/>
          <w:szCs w:val="14"/>
          <w:color w:val="auto"/>
        </w:rPr>
        <w:t xml:space="preserve">In the used car space, we provide cloud-based, modular digitalization solutions to used car dealers. </w:t>
      </w:r>
      <w:r>
        <w:rPr>
          <w:rFonts w:ascii="Arial" w:cs="Arial" w:eastAsia="Arial" w:hAnsi="Arial"/>
          <w:sz w:val="14"/>
          <w:szCs w:val="14"/>
          <w:i w:val="1"/>
          <w:iCs w:val="1"/>
          <w:color w:val="auto"/>
        </w:rPr>
        <w:t>DaFengChe</w:t>
      </w:r>
      <w:r>
        <w:rPr>
          <w:rFonts w:ascii="Arial" w:cs="Arial" w:eastAsia="Arial" w:hAnsi="Arial"/>
          <w:sz w:val="14"/>
          <w:szCs w:val="14"/>
          <w:color w:val="auto"/>
        </w:rPr>
        <w:t>, our flagship solution, laid the foundation for our competitive advantage and the sustained expansion of our service offering.</w:t>
      </w:r>
    </w:p>
    <w:p>
      <w:pPr>
        <w:spacing w:after="0" w:line="55" w:lineRule="exact"/>
        <w:rPr>
          <w:rFonts w:ascii="Arial" w:cs="Arial" w:eastAsia="Arial" w:hAnsi="Arial"/>
          <w:sz w:val="11"/>
          <w:szCs w:val="11"/>
          <w:color w:val="auto"/>
        </w:rPr>
      </w:pPr>
    </w:p>
    <w:p>
      <w:pPr>
        <w:jc w:val="both"/>
        <w:ind w:left="1860" w:right="1458"/>
        <w:spacing w:after="0" w:line="239" w:lineRule="auto"/>
        <w:rPr>
          <w:rFonts w:ascii="Arial" w:cs="Arial" w:eastAsia="Arial" w:hAnsi="Arial"/>
          <w:sz w:val="11"/>
          <w:szCs w:val="11"/>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began in 2013 with a focused mission: digitalizing used car dealers’ day-to-day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operations, starting with inventory management and CRM. It has since grown from a small enterprise resource planning, or ERP, application into an all-encompassing digital ally for used car dealers.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now spans inventory sourcing and management, marketing, sales, business analysis and internal administration, and, importantly, gives dealers easy access to our essential transaction services.</w:t>
      </w:r>
    </w:p>
    <w:p>
      <w:pPr>
        <w:spacing w:after="0" w:line="65" w:lineRule="exact"/>
        <w:rPr>
          <w:rFonts w:ascii="Arial" w:cs="Arial" w:eastAsia="Arial" w:hAnsi="Arial"/>
          <w:sz w:val="11"/>
          <w:szCs w:val="11"/>
          <w:color w:val="auto"/>
        </w:rPr>
      </w:pPr>
    </w:p>
    <w:p>
      <w:pPr>
        <w:jc w:val="both"/>
        <w:ind w:left="1860" w:right="1458"/>
        <w:spacing w:after="0" w:line="239" w:lineRule="auto"/>
        <w:rPr>
          <w:rFonts w:ascii="Arial" w:cs="Arial" w:eastAsia="Arial" w:hAnsi="Arial"/>
          <w:sz w:val="11"/>
          <w:szCs w:val="11"/>
          <w:color w:val="auto"/>
        </w:rPr>
      </w:pPr>
      <w:r>
        <w:rPr>
          <w:rFonts w:ascii="Arial" w:cs="Arial" w:eastAsia="Arial" w:hAnsi="Arial"/>
          <w:sz w:val="14"/>
          <w:szCs w:val="14"/>
          <w:color w:val="auto"/>
        </w:rPr>
        <w:t xml:space="preserve">Building on this foundation, we have begun embedding AI applications directly into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to support dealers’ most data-intensive decisions — such as which vehicles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acquire, at what price, and how quickly they are likely to sell — drawing on the real-time, granular data accumulated on our platform. We believe these small, early steps mark the beginning of </w:t>
      </w:r>
      <w:r>
        <w:rPr>
          <w:rFonts w:ascii="Arial" w:cs="Arial" w:eastAsia="Arial" w:hAnsi="Arial"/>
          <w:sz w:val="14"/>
          <w:szCs w:val="14"/>
          <w:i w:val="1"/>
          <w:iCs w:val="1"/>
          <w:color w:val="auto"/>
        </w:rPr>
        <w:t>DaFengChe</w:t>
      </w:r>
      <w:r>
        <w:rPr>
          <w:rFonts w:ascii="Arial" w:cs="Arial" w:eastAsia="Arial" w:hAnsi="Arial"/>
          <w:sz w:val="14"/>
          <w:szCs w:val="14"/>
          <w:color w:val="auto"/>
        </w:rPr>
        <w:t>’s evolution from a system that digitalizes a dealer’s operations into one that actively helps to run them.</w:t>
      </w:r>
    </w:p>
    <w:p>
      <w:pPr>
        <w:spacing w:after="0" w:line="75" w:lineRule="exact"/>
        <w:rPr>
          <w:rFonts w:ascii="Arial" w:cs="Arial" w:eastAsia="Arial" w:hAnsi="Arial"/>
          <w:sz w:val="11"/>
          <w:szCs w:val="11"/>
          <w:color w:val="auto"/>
        </w:rPr>
      </w:pPr>
    </w:p>
    <w:p>
      <w:pPr>
        <w:jc w:val="both"/>
        <w:ind w:left="1860" w:right="1458"/>
        <w:spacing w:after="0" w:line="251" w:lineRule="auto"/>
        <w:rPr>
          <w:rFonts w:ascii="Arial" w:cs="Arial" w:eastAsia="Arial" w:hAnsi="Arial"/>
          <w:sz w:val="11"/>
          <w:szCs w:val="11"/>
          <w:color w:val="auto"/>
        </w:rPr>
      </w:pPr>
      <w:r>
        <w:rPr>
          <w:rFonts w:ascii="Arial" w:cs="Arial" w:eastAsia="Arial" w:hAnsi="Arial"/>
          <w:sz w:val="14"/>
          <w:szCs w:val="14"/>
          <w:color w:val="auto"/>
        </w:rPr>
        <w:t xml:space="preserve">Beyond the inherent benefits of digitalization, our prevalent market penetration lets us offer dealers added value through </w:t>
      </w:r>
      <w:r>
        <w:rPr>
          <w:rFonts w:ascii="Arial" w:cs="Arial" w:eastAsia="Arial" w:hAnsi="Arial"/>
          <w:sz w:val="14"/>
          <w:szCs w:val="14"/>
          <w:i w:val="1"/>
          <w:iCs w:val="1"/>
          <w:color w:val="auto"/>
        </w:rPr>
        <w:t>DaFengChe</w:t>
      </w:r>
      <w:r>
        <w:rPr>
          <w:rFonts w:ascii="Arial" w:cs="Arial" w:eastAsia="Arial" w:hAnsi="Arial"/>
          <w:sz w:val="14"/>
          <w:szCs w:val="14"/>
          <w:color w:val="auto"/>
        </w:rPr>
        <w:t>, including industry best practices, market intelligence, and dealer-to-dealer collaboration opportunities.</w:t>
      </w:r>
    </w:p>
    <w:p>
      <w:pPr>
        <w:spacing w:after="0" w:line="55" w:lineRule="exact"/>
        <w:rPr>
          <w:rFonts w:ascii="Arial" w:cs="Arial" w:eastAsia="Arial" w:hAnsi="Arial"/>
          <w:sz w:val="11"/>
          <w:szCs w:val="11"/>
          <w:color w:val="auto"/>
        </w:rPr>
      </w:pPr>
    </w:p>
    <w:p>
      <w:pPr>
        <w:jc w:val="both"/>
        <w:ind w:left="1860" w:right="1458" w:hanging="130"/>
        <w:spacing w:after="0" w:line="245" w:lineRule="auto"/>
        <w:tabs>
          <w:tab w:leader="none" w:pos="1864" w:val="left"/>
        </w:tabs>
        <w:numPr>
          <w:ilvl w:val="0"/>
          <w:numId w:val="6"/>
        </w:numPr>
        <w:rPr>
          <w:rFonts w:ascii="Arial" w:cs="Arial" w:eastAsia="Arial" w:hAnsi="Arial"/>
          <w:sz w:val="11"/>
          <w:szCs w:val="11"/>
          <w:color w:val="auto"/>
        </w:rPr>
      </w:pPr>
      <w:r>
        <w:rPr>
          <w:rFonts w:ascii="Arial" w:cs="Arial" w:eastAsia="Arial" w:hAnsi="Arial"/>
          <w:sz w:val="14"/>
          <w:szCs w:val="14"/>
          <w:color w:val="auto"/>
        </w:rPr>
        <w:t>In the new car space, we build customer engagement systems and applications for OEMs, including storefront management systems, customer-facing mobile applications and mini-programs. For new car brokers, we offer an integrated operating system and listing platform that addresses both their daily management and inventory sourcing needs.</w:t>
      </w:r>
    </w:p>
    <w:p>
      <w:pPr>
        <w:spacing w:after="0" w:line="92"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Transaction services</w:t>
      </w:r>
    </w:p>
    <w:p>
      <w:pPr>
        <w:spacing w:after="0" w:line="86"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Running a used car dealership is a complex business of many tedious steps. Starting with the “goods for sale” themselves — they do not come in batches with clean packaging — each used car is unique and must be located, inspected, priced for procurement, often physically moved from one city to another, washed and reconditioned, photographed for online store presence, advertised, priced for sale, and eventually sold. That is a long list of tasks, calling for collaboration with other dealers and numerous third-party services, and creating an abundance of revenue opportunities for us.</w:t>
      </w:r>
    </w:p>
    <w:p>
      <w:pPr>
        <w:spacing w:after="0" w:line="76"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Leveraging the data, insight and connections we have built within China’s used car ecosystem, we offer used car dealers and their collaborators several essential transaction services that are easier to access and higher in quality, currently including B2B transaction facilitation, used car inspection and certification, and delivery services. Our delivery services also serve OEM clients with single-car delivery needs.</w:t>
      </w:r>
    </w:p>
    <w:p>
      <w:pPr>
        <w:spacing w:after="0" w:line="63"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By integrating these transaction services with our digitalization solutions, our platform has evolved into a convenient, all-in-one hub that delivers high-quality services to dealers and their collaborators with consistency and reliability. It has laid the execution foundation for the truly agentic AI application we aspire to build in this vertical industry.</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Our Strengths</w:t>
      </w:r>
    </w:p>
    <w:p>
      <w:pPr>
        <w:spacing w:after="0" w:line="109"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We believe the following competitive strengths contribute to our success and differentiate us from our competitors:</w:t>
      </w:r>
    </w:p>
    <w:p>
      <w:pPr>
        <w:spacing w:after="0" w:line="62" w:lineRule="exact"/>
        <w:rPr>
          <w:sz w:val="20"/>
          <w:szCs w:val="20"/>
          <w:color w:val="auto"/>
        </w:rPr>
      </w:pPr>
    </w:p>
    <w:p>
      <w:pPr>
        <w:ind w:left="1880" w:hanging="150"/>
        <w:spacing w:after="0"/>
        <w:tabs>
          <w:tab w:leader="none" w:pos="1880" w:val="left"/>
        </w:tabs>
        <w:numPr>
          <w:ilvl w:val="0"/>
          <w:numId w:val="7"/>
        </w:numPr>
        <w:rPr>
          <w:rFonts w:ascii="Arial" w:cs="Arial" w:eastAsia="Arial" w:hAnsi="Arial"/>
          <w:sz w:val="11"/>
          <w:szCs w:val="11"/>
          <w:color w:val="auto"/>
        </w:rPr>
      </w:pPr>
      <w:r>
        <w:rPr>
          <w:rFonts w:ascii="Arial" w:cs="Arial" w:eastAsia="Arial" w:hAnsi="Arial"/>
          <w:sz w:val="14"/>
          <w:szCs w:val="14"/>
          <w:color w:val="auto"/>
        </w:rPr>
        <w:t>Our Unique Business Model Balancing Stability and Growth in a Massive Market</w:t>
      </w:r>
    </w:p>
    <w:p>
      <w:pPr>
        <w:spacing w:after="0" w:line="98" w:lineRule="exact"/>
        <w:rPr>
          <w:rFonts w:ascii="Arial" w:cs="Arial" w:eastAsia="Arial" w:hAnsi="Arial"/>
          <w:sz w:val="11"/>
          <w:szCs w:val="11"/>
          <w:color w:val="auto"/>
        </w:rPr>
      </w:pPr>
    </w:p>
    <w:p>
      <w:pPr>
        <w:ind w:left="1860" w:hanging="130"/>
        <w:spacing w:after="0"/>
        <w:tabs>
          <w:tab w:leader="none" w:pos="1860" w:val="left"/>
        </w:tabs>
        <w:numPr>
          <w:ilvl w:val="0"/>
          <w:numId w:val="7"/>
        </w:numPr>
        <w:rPr>
          <w:rFonts w:ascii="Arial" w:cs="Arial" w:eastAsia="Arial" w:hAnsi="Arial"/>
          <w:sz w:val="11"/>
          <w:szCs w:val="11"/>
          <w:color w:val="auto"/>
        </w:rPr>
      </w:pPr>
      <w:r>
        <w:rPr>
          <w:rFonts w:ascii="Arial" w:cs="Arial" w:eastAsia="Arial" w:hAnsi="Arial"/>
          <w:sz w:val="14"/>
          <w:szCs w:val="14"/>
          <w:color w:val="auto"/>
        </w:rPr>
        <w:t>Data-Powered Capabilities and a Growing Suite of AI Agents</w:t>
      </w:r>
    </w:p>
    <w:p>
      <w:pPr>
        <w:spacing w:after="0" w:line="2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 w:name="page18"/>
    <w:bookmarkEnd w:id="1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876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59225" cy="5876925"/>
                    </a:xfrm>
                    <a:prstGeom prst="rect">
                      <a:avLst/>
                    </a:prstGeom>
                    <a:noFill/>
                  </pic:spPr>
                </pic:pic>
              </a:graphicData>
            </a:graphic>
          </wp:anchor>
        </w:drawing>
      </w:r>
    </w:p>
    <w:p>
      <w:pPr>
        <w:spacing w:after="0" w:line="244" w:lineRule="exact"/>
        <w:rPr>
          <w:sz w:val="20"/>
          <w:szCs w:val="20"/>
          <w:color w:val="auto"/>
        </w:rPr>
      </w:pPr>
    </w:p>
    <w:p>
      <w:pPr>
        <w:ind w:left="1860" w:hanging="130"/>
        <w:spacing w:after="0"/>
        <w:tabs>
          <w:tab w:leader="none" w:pos="1860" w:val="left"/>
        </w:tabs>
        <w:numPr>
          <w:ilvl w:val="0"/>
          <w:numId w:val="8"/>
        </w:numPr>
        <w:rPr>
          <w:rFonts w:ascii="Arial" w:cs="Arial" w:eastAsia="Arial" w:hAnsi="Arial"/>
          <w:sz w:val="11"/>
          <w:szCs w:val="11"/>
          <w:color w:val="auto"/>
        </w:rPr>
      </w:pPr>
      <w:r>
        <w:rPr>
          <w:rFonts w:ascii="Arial" w:cs="Arial" w:eastAsia="Arial" w:hAnsi="Arial"/>
          <w:sz w:val="14"/>
          <w:szCs w:val="14"/>
          <w:color w:val="auto"/>
        </w:rPr>
        <w:t>A Widening and Deepening Moat</w:t>
      </w:r>
    </w:p>
    <w:p>
      <w:pPr>
        <w:spacing w:after="0" w:line="119" w:lineRule="exact"/>
        <w:rPr>
          <w:rFonts w:ascii="Arial" w:cs="Arial" w:eastAsia="Arial" w:hAnsi="Arial"/>
          <w:sz w:val="11"/>
          <w:szCs w:val="11"/>
          <w:color w:val="auto"/>
        </w:rPr>
      </w:pPr>
    </w:p>
    <w:p>
      <w:pPr>
        <w:ind w:left="1880" w:hanging="150"/>
        <w:spacing w:after="0"/>
        <w:tabs>
          <w:tab w:leader="none" w:pos="1880" w:val="left"/>
        </w:tabs>
        <w:numPr>
          <w:ilvl w:val="0"/>
          <w:numId w:val="8"/>
        </w:numPr>
        <w:rPr>
          <w:rFonts w:ascii="Arial" w:cs="Arial" w:eastAsia="Arial" w:hAnsi="Arial"/>
          <w:sz w:val="11"/>
          <w:szCs w:val="11"/>
          <w:color w:val="auto"/>
        </w:rPr>
      </w:pPr>
      <w:r>
        <w:rPr>
          <w:rFonts w:ascii="Arial" w:cs="Arial" w:eastAsia="Arial" w:hAnsi="Arial"/>
          <w:sz w:val="14"/>
          <w:szCs w:val="14"/>
          <w:color w:val="auto"/>
        </w:rPr>
        <w:t>Visionary Management Team with Deep Industry Expertise</w:t>
      </w:r>
    </w:p>
    <w:p>
      <w:pPr>
        <w:spacing w:after="0" w:line="161"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Our Strategies</w:t>
      </w:r>
    </w:p>
    <w:p>
      <w:pPr>
        <w:spacing w:after="0" w:line="109" w:lineRule="exact"/>
        <w:rPr>
          <w:sz w:val="20"/>
          <w:szCs w:val="20"/>
          <w:color w:val="auto"/>
        </w:rPr>
      </w:pPr>
    </w:p>
    <w:p>
      <w:pPr>
        <w:ind w:left="1480" w:right="1458" w:firstLine="249"/>
        <w:spacing w:after="0" w:line="271" w:lineRule="auto"/>
        <w:rPr>
          <w:sz w:val="20"/>
          <w:szCs w:val="20"/>
          <w:color w:val="auto"/>
        </w:rPr>
      </w:pPr>
      <w:r>
        <w:rPr>
          <w:rFonts w:ascii="Arial" w:cs="Arial" w:eastAsia="Arial" w:hAnsi="Arial"/>
          <w:sz w:val="14"/>
          <w:szCs w:val="14"/>
          <w:color w:val="auto"/>
        </w:rPr>
        <w:t>We intend to focus on the following key strategies to solidify our market leadership and achieve sustainable growth:</w:t>
      </w:r>
    </w:p>
    <w:p>
      <w:pPr>
        <w:spacing w:after="0" w:line="51" w:lineRule="exact"/>
        <w:rPr>
          <w:sz w:val="20"/>
          <w:szCs w:val="20"/>
          <w:color w:val="auto"/>
        </w:rPr>
      </w:pPr>
    </w:p>
    <w:p>
      <w:pPr>
        <w:ind w:left="1880" w:hanging="150"/>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Continue to Propel Used Car Industry Evolution Through Digitalization and AI Applications</w:t>
      </w:r>
    </w:p>
    <w:p>
      <w:pPr>
        <w:spacing w:after="0" w:line="108" w:lineRule="exact"/>
        <w:rPr>
          <w:rFonts w:ascii="Arial" w:cs="Arial" w:eastAsia="Arial" w:hAnsi="Arial"/>
          <w:sz w:val="11"/>
          <w:szCs w:val="11"/>
          <w:color w:val="auto"/>
        </w:rPr>
      </w:pPr>
    </w:p>
    <w:p>
      <w:pPr>
        <w:ind w:left="1880" w:hanging="150"/>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Broaden the Scope and Deepen the Penetration of Our Transaction Services</w:t>
      </w:r>
    </w:p>
    <w:p>
      <w:pPr>
        <w:spacing w:after="0" w:line="108" w:lineRule="exact"/>
        <w:rPr>
          <w:rFonts w:ascii="Arial" w:cs="Arial" w:eastAsia="Arial" w:hAnsi="Arial"/>
          <w:sz w:val="11"/>
          <w:szCs w:val="11"/>
          <w:color w:val="auto"/>
        </w:rPr>
      </w:pPr>
    </w:p>
    <w:p>
      <w:pPr>
        <w:ind w:left="1880" w:hanging="150"/>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Advance Our AI Applications to Further Empower Used Car Dealers</w:t>
      </w:r>
    </w:p>
    <w:p>
      <w:pPr>
        <w:spacing w:after="0" w:line="98" w:lineRule="exact"/>
        <w:rPr>
          <w:rFonts w:ascii="Arial" w:cs="Arial" w:eastAsia="Arial" w:hAnsi="Arial"/>
          <w:sz w:val="11"/>
          <w:szCs w:val="11"/>
          <w:color w:val="auto"/>
        </w:rPr>
      </w:pPr>
    </w:p>
    <w:p>
      <w:pPr>
        <w:ind w:left="1880" w:hanging="150"/>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Expand Globally Alongside Our Dealers</w:t>
      </w:r>
    </w:p>
    <w:p>
      <w:pPr>
        <w:spacing w:after="0" w:line="161"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Summary of Risk Factors</w:t>
      </w:r>
    </w:p>
    <w:p>
      <w:pPr>
        <w:spacing w:after="0" w:line="109" w:lineRule="exact"/>
        <w:rPr>
          <w:sz w:val="20"/>
          <w:szCs w:val="20"/>
          <w:color w:val="auto"/>
        </w:rPr>
      </w:pPr>
    </w:p>
    <w:p>
      <w:pPr>
        <w:jc w:val="both"/>
        <w:ind w:left="1480" w:right="1458" w:firstLine="249"/>
        <w:spacing w:after="0" w:line="270" w:lineRule="auto"/>
        <w:rPr>
          <w:sz w:val="20"/>
          <w:szCs w:val="20"/>
          <w:color w:val="auto"/>
        </w:rPr>
      </w:pPr>
      <w:r>
        <w:rPr>
          <w:rFonts w:ascii="Arial" w:cs="Arial" w:eastAsia="Arial" w:hAnsi="Arial"/>
          <w:sz w:val="13"/>
          <w:szCs w:val="13"/>
          <w:color w:val="auto"/>
        </w:rPr>
        <w:t>An investment in our ADSs involves significant risks. You should consider carefully all of the information in this prospectus, including the risks and uncertainties described below, before making an investment in our ADSs. Below is a summary of material risks we face, organized under relevant headings. These risks are discussed more comprehensively in the section titled “Risk Factors.”</w:t>
      </w:r>
    </w:p>
    <w:p>
      <w:pPr>
        <w:spacing w:after="0" w:line="118"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86" w:lineRule="exact"/>
        <w:rPr>
          <w:sz w:val="20"/>
          <w:szCs w:val="20"/>
          <w:color w:val="auto"/>
        </w:rPr>
      </w:pPr>
    </w:p>
    <w:p>
      <w:pPr>
        <w:jc w:val="both"/>
        <w:ind w:left="1860" w:right="1458" w:hanging="130"/>
        <w:spacing w:after="0" w:line="25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If we fail to provide a differentiated and superior customer experience and satisfactory services, the size of our customer base and the demand for our services could decline, and our business would be materially and adversely affected.</w:t>
      </w:r>
    </w:p>
    <w:p>
      <w:pPr>
        <w:spacing w:after="0" w:line="65"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Our failure to continuously develop new services to meet the evolving needs of customers, or achieve widespread customer adoption of those services, could negatively impact our business and financial results.</w:t>
      </w:r>
    </w:p>
    <w:p>
      <w:pPr>
        <w:spacing w:after="0" w:line="55" w:lineRule="exact"/>
        <w:rPr>
          <w:rFonts w:ascii="Arial" w:cs="Arial" w:eastAsia="Arial" w:hAnsi="Arial"/>
          <w:sz w:val="11"/>
          <w:szCs w:val="11"/>
          <w:color w:val="auto"/>
        </w:rPr>
      </w:pPr>
    </w:p>
    <w:p>
      <w:pPr>
        <w:jc w:val="both"/>
        <w:ind w:left="1860" w:right="1458" w:hanging="130"/>
        <w:spacing w:after="0" w:line="24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Our business substantially depends on our relationship with our customers, primarily used car dealers and OEMs, and their usage of our services. If a significant number of our customers cease to use or do not keep or increase the usage of our services or if we are unable to develop relationships with new customers, our business and financial results would be materially and adversely affected.</w:t>
      </w:r>
    </w:p>
    <w:p>
      <w:pPr>
        <w:spacing w:after="0" w:line="63"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Our past performance is not indicative of our future growth, and our revenue growth in the future is uncertain.</w:t>
      </w:r>
    </w:p>
    <w:p>
      <w:pPr>
        <w:spacing w:after="0" w:line="51"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We have a history of losses and have negative cash flows from operations, and we may not be able to achieve or sustain profitability in the future.</w:t>
      </w:r>
    </w:p>
    <w:p>
      <w:pPr>
        <w:spacing w:after="0" w:line="41"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0"/>
        </w:numPr>
        <w:rPr>
          <w:rFonts w:ascii="Arial" w:cs="Arial" w:eastAsia="Arial" w:hAnsi="Arial"/>
          <w:sz w:val="11"/>
          <w:szCs w:val="11"/>
          <w:color w:val="auto"/>
        </w:rPr>
      </w:pPr>
      <w:r>
        <w:rPr>
          <w:rFonts w:ascii="Arial" w:cs="Arial" w:eastAsia="Arial" w:hAnsi="Arial"/>
          <w:sz w:val="14"/>
          <w:szCs w:val="14"/>
          <w:color w:val="auto"/>
        </w:rPr>
        <w:t>We operate in the used car transaction service market in China, which is emerging, rapidly evolving, and competitive. As a result, predicting our prospects is challenging and our historical operating and financial results may not necessarily predict our future performance.</w:t>
      </w:r>
    </w:p>
    <w:p>
      <w:pPr>
        <w:spacing w:after="0" w:line="130"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Risks Related to Corporate Structure</w:t>
      </w:r>
    </w:p>
    <w:p>
      <w:pPr>
        <w:spacing w:after="0" w:line="86" w:lineRule="exact"/>
        <w:rPr>
          <w:sz w:val="20"/>
          <w:szCs w:val="20"/>
          <w:color w:val="auto"/>
        </w:rPr>
      </w:pPr>
    </w:p>
    <w:p>
      <w:pPr>
        <w:jc w:val="both"/>
        <w:ind w:left="1860" w:right="1458" w:hanging="130"/>
        <w:spacing w:after="0" w:line="237" w:lineRule="auto"/>
        <w:tabs>
          <w:tab w:leader="none" w:pos="1844" w:val="left"/>
        </w:tabs>
        <w:numPr>
          <w:ilvl w:val="0"/>
          <w:numId w:val="11"/>
        </w:numPr>
        <w:rPr>
          <w:rFonts w:ascii="Arial" w:cs="Arial" w:eastAsia="Arial" w:hAnsi="Arial"/>
          <w:sz w:val="11"/>
          <w:szCs w:val="11"/>
          <w:color w:val="auto"/>
        </w:rPr>
      </w:pPr>
      <w:r>
        <w:rPr>
          <w:rFonts w:ascii="Arial" w:cs="Arial" w:eastAsia="Arial" w:hAnsi="Arial"/>
          <w:sz w:val="14"/>
          <w:szCs w:val="14"/>
          <w:color w:val="auto"/>
        </w:rPr>
        <w:t>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26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 w:name="page19"/>
    <w:bookmarkEnd w:id="1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49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59225" cy="5949315"/>
                    </a:xfrm>
                    <a:prstGeom prst="rect">
                      <a:avLst/>
                    </a:prstGeom>
                    <a:noFill/>
                  </pic:spPr>
                </pic:pic>
              </a:graphicData>
            </a:graphic>
          </wp:anchor>
        </w:drawing>
      </w:r>
    </w:p>
    <w:p>
      <w:pPr>
        <w:spacing w:after="0" w:line="193" w:lineRule="exact"/>
        <w:rPr>
          <w:sz w:val="20"/>
          <w:szCs w:val="20"/>
          <w:color w:val="auto"/>
        </w:rPr>
      </w:pPr>
    </w:p>
    <w:p>
      <w:pPr>
        <w:ind w:left="1860" w:right="1458" w:hanging="130"/>
        <w:spacing w:after="0" w:line="271" w:lineRule="auto"/>
        <w:tabs>
          <w:tab w:leader="none" w:pos="1844" w:val="left"/>
        </w:tabs>
        <w:numPr>
          <w:ilvl w:val="0"/>
          <w:numId w:val="12"/>
        </w:numPr>
        <w:rPr>
          <w:rFonts w:ascii="Arial" w:cs="Arial" w:eastAsia="Arial" w:hAnsi="Arial"/>
          <w:sz w:val="11"/>
          <w:szCs w:val="11"/>
          <w:color w:val="auto"/>
        </w:rPr>
      </w:pPr>
      <w:r>
        <w:rPr>
          <w:rFonts w:ascii="Arial" w:cs="Arial" w:eastAsia="Arial" w:hAnsi="Arial"/>
          <w:sz w:val="14"/>
          <w:szCs w:val="14"/>
          <w:color w:val="auto"/>
        </w:rPr>
        <w:t>Any failure by the VIEs or their shareholders to perform their obligations under our contractual arrangements with them would have a material adverse effect on our business.</w:t>
      </w:r>
    </w:p>
    <w:p>
      <w:pPr>
        <w:spacing w:after="0" w:line="9"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2"/>
        </w:numPr>
        <w:rPr>
          <w:rFonts w:ascii="Arial" w:cs="Arial" w:eastAsia="Arial" w:hAnsi="Arial"/>
          <w:sz w:val="11"/>
          <w:szCs w:val="11"/>
          <w:color w:val="auto"/>
        </w:rPr>
      </w:pPr>
      <w:r>
        <w:rPr>
          <w:rFonts w:ascii="Arial" w:cs="Arial" w:eastAsia="Arial" w:hAnsi="Arial"/>
          <w:sz w:val="14"/>
          <w:szCs w:val="14"/>
          <w:color w:val="auto"/>
        </w:rPr>
        <w:t>Uncertainties exist with respect to the interpretation and implementation of the enacted Foreign Investment Law and how it may impact our business, financial condition and results of operations.</w:t>
      </w:r>
    </w:p>
    <w:p>
      <w:pPr>
        <w:spacing w:after="0" w:line="34"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2"/>
        </w:numPr>
        <w:rPr>
          <w:rFonts w:ascii="Arial" w:cs="Arial" w:eastAsia="Arial" w:hAnsi="Arial"/>
          <w:sz w:val="11"/>
          <w:szCs w:val="11"/>
          <w:color w:val="auto"/>
        </w:rPr>
      </w:pPr>
      <w:r>
        <w:rPr>
          <w:rFonts w:ascii="Arial" w:cs="Arial" w:eastAsia="Arial" w:hAnsi="Arial"/>
          <w:sz w:val="14"/>
          <w:szCs w:val="14"/>
          <w:color w:val="auto"/>
        </w:rPr>
        <w:t>We rely on contractual arrangements with the VIEs and their shareholders for a large portion of our business operations which may not be as effective as equity ownership in providing operational control.</w:t>
      </w:r>
    </w:p>
    <w:p>
      <w:pPr>
        <w:spacing w:after="0" w:line="99"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Risks Related to Doing Business in China</w:t>
      </w:r>
    </w:p>
    <w:p>
      <w:pPr>
        <w:spacing w:after="0" w:line="65" w:lineRule="exact"/>
        <w:rPr>
          <w:sz w:val="20"/>
          <w:szCs w:val="20"/>
          <w:color w:val="auto"/>
        </w:rPr>
      </w:pPr>
    </w:p>
    <w:p>
      <w:pPr>
        <w:ind w:left="1860" w:right="1458" w:hanging="130"/>
        <w:spacing w:after="0" w:line="27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Changes in China’s economic, political or social conditions or government policies could have a material adverse effect on our business, financial condition and results of operations.</w:t>
      </w:r>
    </w:p>
    <w:p>
      <w:pPr>
        <w:spacing w:after="0" w:line="20"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evolving PRC legal system, including uncertainties regarding the enforcement of laws, and sudden or unexpected changes in laws and regulations in China could adversely affect us and limit the legal protections available to you and us.</w:t>
      </w:r>
    </w:p>
    <w:p>
      <w:pPr>
        <w:spacing w:after="0" w:line="24" w:lineRule="exact"/>
        <w:rPr>
          <w:rFonts w:ascii="Arial" w:cs="Arial" w:eastAsia="Arial" w:hAnsi="Arial"/>
          <w:sz w:val="11"/>
          <w:szCs w:val="11"/>
          <w:color w:val="auto"/>
        </w:rPr>
      </w:pPr>
    </w:p>
    <w:p>
      <w:pPr>
        <w:jc w:val="both"/>
        <w:ind w:left="1860" w:right="1458" w:hanging="130"/>
        <w:spacing w:after="0" w:line="24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We are subject to uncertainties of conducting the company’s business operations in China. The PRC government exerts substantial influence over the manner in which we conduct our business operations. It may influence or intervene in our operations at any time as part of its efforts to enforce PRC law, which could result in a material adverse change in our operations and the value of the ADSs.</w:t>
      </w:r>
    </w:p>
    <w:p>
      <w:pPr>
        <w:spacing w:after="0" w:line="42" w:lineRule="exact"/>
        <w:rPr>
          <w:rFonts w:ascii="Arial" w:cs="Arial" w:eastAsia="Arial" w:hAnsi="Arial"/>
          <w:sz w:val="11"/>
          <w:szCs w:val="11"/>
          <w:color w:val="auto"/>
        </w:rPr>
      </w:pPr>
    </w:p>
    <w:p>
      <w:pPr>
        <w:jc w:val="both"/>
        <w:ind w:left="1860" w:right="1458" w:hanging="130"/>
        <w:spacing w:after="0" w:line="245"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Failure or perceived failure by us to comply with the anti-monopoly and competition laws and regulations in the PRC may result in governmental investigations, enforcement actions, litigation or claims against us and could have an adverse effect on business, reputation, results of operations and financial condition.</w:t>
      </w:r>
    </w:p>
    <w:p>
      <w:pPr>
        <w:spacing w:after="0" w:line="37"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If the PCAOB is prevented from fully evaluating audits and quality control procedures of our auditor, investors may be deprived of the benefits of such PCAOB inspections.</w:t>
      </w:r>
    </w:p>
    <w:p>
      <w:pPr>
        <w:spacing w:after="0" w:line="9"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Holding Foreign Companies Accountable Act may result in the delisting of the ADSs. The delisting of our ADSs, or the threat of their being delisted, may materially and adversely affect the value of your investment.</w:t>
      </w:r>
    </w:p>
    <w:p>
      <w:pPr>
        <w:spacing w:after="0" w:line="34"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Recent litigation and negative publicity surrounding China-based companies listed in the United States may negatively impact the trading price of our ADSs.</w:t>
      </w:r>
    </w:p>
    <w:p>
      <w:pPr>
        <w:spacing w:after="0" w:line="20" w:lineRule="exact"/>
        <w:rPr>
          <w:rFonts w:ascii="Arial" w:cs="Arial" w:eastAsia="Arial" w:hAnsi="Arial"/>
          <w:sz w:val="11"/>
          <w:szCs w:val="11"/>
          <w:color w:val="auto"/>
        </w:rPr>
      </w:pPr>
    </w:p>
    <w:p>
      <w:pPr>
        <w:jc w:val="both"/>
        <w:ind w:left="1860" w:right="1458" w:hanging="130"/>
        <w:spacing w:after="0" w:line="245"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27" w:lineRule="exact"/>
        <w:rPr>
          <w:rFonts w:ascii="Arial" w:cs="Arial" w:eastAsia="Arial" w:hAnsi="Arial"/>
          <w:sz w:val="11"/>
          <w:szCs w:val="11"/>
          <w:color w:val="auto"/>
        </w:rPr>
      </w:pPr>
    </w:p>
    <w:p>
      <w:pPr>
        <w:jc w:val="both"/>
        <w:ind w:left="1860" w:right="1458" w:hanging="130"/>
        <w:spacing w:after="0" w:line="245" w:lineRule="auto"/>
        <w:tabs>
          <w:tab w:leader="none" w:pos="1864" w:val="left"/>
        </w:tabs>
        <w:numPr>
          <w:ilvl w:val="0"/>
          <w:numId w:val="13"/>
        </w:numPr>
        <w:rPr>
          <w:rFonts w:ascii="Arial" w:cs="Arial" w:eastAsia="Arial" w:hAnsi="Arial"/>
          <w:sz w:val="11"/>
          <w:szCs w:val="11"/>
          <w:color w:val="auto"/>
        </w:rPr>
      </w:pPr>
      <w:r>
        <w:rPr>
          <w:rFonts w:ascii="Arial" w:cs="Arial" w:eastAsia="Arial" w:hAnsi="Arial"/>
          <w:sz w:val="14"/>
          <w:szCs w:val="14"/>
          <w:color w:val="auto"/>
        </w:rPr>
        <w:t>Our business is susceptible to changes in government policies, including policies on automobile purchases, ownership, taxation, vehicle title transfers and used car transactions across regions and provinces. Failure to adequately respond to such changes could adversely affect our business.</w:t>
      </w:r>
    </w:p>
    <w:p>
      <w:pPr>
        <w:spacing w:after="0" w:line="81"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Risks Related to the ADSs and This Offering</w:t>
      </w:r>
    </w:p>
    <w:p>
      <w:pPr>
        <w:spacing w:after="0" w:line="65" w:lineRule="exact"/>
        <w:rPr>
          <w:sz w:val="20"/>
          <w:szCs w:val="20"/>
          <w:color w:val="auto"/>
        </w:rPr>
      </w:pPr>
    </w:p>
    <w:p>
      <w:pPr>
        <w:ind w:left="1860" w:right="1458" w:hanging="130"/>
        <w:spacing w:after="0" w:line="271" w:lineRule="auto"/>
        <w:tabs>
          <w:tab w:leader="none" w:pos="1864" w:val="left"/>
        </w:tabs>
        <w:numPr>
          <w:ilvl w:val="0"/>
          <w:numId w:val="14"/>
        </w:numPr>
        <w:rPr>
          <w:rFonts w:ascii="Arial" w:cs="Arial" w:eastAsia="Arial" w:hAnsi="Arial"/>
          <w:sz w:val="11"/>
          <w:szCs w:val="11"/>
          <w:color w:val="auto"/>
        </w:rPr>
      </w:pPr>
      <w:r>
        <w:rPr>
          <w:rFonts w:ascii="Arial" w:cs="Arial" w:eastAsia="Arial" w:hAnsi="Arial"/>
          <w:sz w:val="14"/>
          <w:szCs w:val="14"/>
          <w:color w:val="auto"/>
        </w:rPr>
        <w:t>An active trading market for our Class A ordinary shares or the ADSs may not develop and the trading price for the ADSs may fluctuate significantly.</w:t>
      </w:r>
    </w:p>
    <w:p>
      <w:pPr>
        <w:spacing w:after="0" w:line="9"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4"/>
        </w:numPr>
        <w:rPr>
          <w:rFonts w:ascii="Arial" w:cs="Arial" w:eastAsia="Arial" w:hAnsi="Arial"/>
          <w:sz w:val="11"/>
          <w:szCs w:val="11"/>
          <w:color w:val="auto"/>
        </w:rPr>
      </w:pPr>
      <w:r>
        <w:rPr>
          <w:rFonts w:ascii="Arial" w:cs="Arial" w:eastAsia="Arial" w:hAnsi="Arial"/>
          <w:sz w:val="14"/>
          <w:szCs w:val="14"/>
          <w:color w:val="auto"/>
        </w:rPr>
        <w:t>We will incur additional costs as a result of being a public company, particularly after we cease to qualify as an emerging growth company.</w:t>
      </w:r>
    </w:p>
    <w:p>
      <w:pPr>
        <w:spacing w:after="0" w:line="20"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4"/>
        </w:numPr>
        <w:rPr>
          <w:rFonts w:ascii="Arial" w:cs="Arial" w:eastAsia="Arial" w:hAnsi="Arial"/>
          <w:sz w:val="11"/>
          <w:szCs w:val="11"/>
          <w:color w:val="auto"/>
        </w:rPr>
      </w:pPr>
      <w:r>
        <w:rPr>
          <w:rFonts w:ascii="Arial" w:cs="Arial" w:eastAsia="Arial" w:hAnsi="Arial"/>
          <w:sz w:val="14"/>
          <w:szCs w:val="14"/>
          <w:color w:val="auto"/>
        </w:rPr>
        <w:t>You must rely on the judgment of our management as to the use of the net proceeds from this offering, and such use may not produce income or increase our ADS price.</w:t>
      </w:r>
    </w:p>
    <w:p>
      <w:pPr>
        <w:spacing w:after="0" w:line="9"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4"/>
        </w:numPr>
        <w:rPr>
          <w:rFonts w:ascii="Arial" w:cs="Arial" w:eastAsia="Arial" w:hAnsi="Arial"/>
          <w:sz w:val="11"/>
          <w:szCs w:val="11"/>
          <w:color w:val="auto"/>
        </w:rPr>
      </w:pPr>
      <w:r>
        <w:rPr>
          <w:rFonts w:ascii="Arial" w:cs="Arial" w:eastAsia="Arial" w:hAnsi="Arial"/>
          <w:sz w:val="14"/>
          <w:szCs w:val="14"/>
          <w:color w:val="auto"/>
        </w:rPr>
        <w:t>The trading price of the ADSs is likely to be volatile, which could result in substantial losses to investors.</w:t>
      </w:r>
    </w:p>
    <w:p>
      <w:pPr>
        <w:spacing w:after="0" w:line="30" w:lineRule="exact"/>
        <w:rPr>
          <w:rFonts w:ascii="Arial" w:cs="Arial" w:eastAsia="Arial" w:hAnsi="Arial"/>
          <w:sz w:val="11"/>
          <w:szCs w:val="11"/>
          <w:color w:val="auto"/>
        </w:rPr>
      </w:pPr>
    </w:p>
    <w:p>
      <w:pPr>
        <w:ind w:left="1860" w:right="1458" w:hanging="130"/>
        <w:spacing w:after="0" w:line="271" w:lineRule="auto"/>
        <w:tabs>
          <w:tab w:leader="none" w:pos="1844" w:val="left"/>
        </w:tabs>
        <w:numPr>
          <w:ilvl w:val="0"/>
          <w:numId w:val="14"/>
        </w:numPr>
        <w:rPr>
          <w:rFonts w:ascii="Arial" w:cs="Arial" w:eastAsia="Arial" w:hAnsi="Arial"/>
          <w:sz w:val="11"/>
          <w:szCs w:val="11"/>
          <w:color w:val="auto"/>
        </w:rPr>
      </w:pPr>
      <w:r>
        <w:rPr>
          <w:rFonts w:ascii="Arial" w:cs="Arial" w:eastAsia="Arial" w:hAnsi="Arial"/>
          <w:sz w:val="14"/>
          <w:szCs w:val="14"/>
          <w:color w:val="auto"/>
        </w:rPr>
        <w:t>Because our initial public offering price is substantially higher than our net tangible book value per share, you will experience immediate and substantial dilution.</w:t>
      </w:r>
    </w:p>
    <w:p>
      <w:pPr>
        <w:spacing w:after="0" w:line="23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 w:name="page20"/>
    <w:bookmarkEnd w:id="1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71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59225" cy="5711825"/>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Recent Development</w:t>
      </w:r>
    </w:p>
    <w:p>
      <w:pPr>
        <w:spacing w:after="0" w:line="78"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We set forth below certain of our operating data and certain selected unaudited consolidated financial information for the three months ended March 31, 2026. You should read the selected unaudited consolidated financial information for the three months ended March 31, 2026 in conjunction with our audited and unaudited consolidated financial statements and the related notes included elsewhere in this prospectus. We have prepared the unaudited consolidated financial information for the three months ended March 31, 2026 on the same basis as our audited consolidated financial statements.</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Our selected operating data for the three months ended March 31, 2026 are as follows:</w:t>
      </w:r>
    </w:p>
    <w:p>
      <w:pPr>
        <w:spacing w:after="0" w:line="78" w:lineRule="exact"/>
        <w:rPr>
          <w:sz w:val="20"/>
          <w:szCs w:val="20"/>
          <w:color w:val="auto"/>
        </w:rPr>
      </w:pPr>
    </w:p>
    <w:p>
      <w:pPr>
        <w:jc w:val="both"/>
        <w:ind w:left="1860" w:right="1458" w:hanging="130"/>
        <w:spacing w:after="0" w:line="239" w:lineRule="auto"/>
        <w:tabs>
          <w:tab w:leader="none" w:pos="1864" w:val="left"/>
        </w:tabs>
        <w:numPr>
          <w:ilvl w:val="0"/>
          <w:numId w:val="15"/>
        </w:numPr>
        <w:rPr>
          <w:rFonts w:ascii="Arial" w:cs="Arial" w:eastAsia="Arial" w:hAnsi="Arial"/>
          <w:sz w:val="11"/>
          <w:szCs w:val="11"/>
          <w:color w:val="auto"/>
        </w:rPr>
      </w:pPr>
      <w:r>
        <w:rPr>
          <w:rFonts w:ascii="Arial" w:cs="Arial" w:eastAsia="Arial" w:hAnsi="Arial"/>
          <w:sz w:val="14"/>
          <w:szCs w:val="14"/>
          <w:color w:val="auto"/>
        </w:rPr>
        <w:t xml:space="preserve">We had 135,636 active users and 13,869 monetized dealers and brokers for the three months ended March 31, 2026, compared to 148,008 active users and 16,757 monetized dealers and brokers for the three months ended March 31, 2025. The slight decrease was primarily attributable to </w:t>
      </w:r>
      <w:r>
        <w:rPr>
          <w:rFonts w:ascii="Arial" w:cs="Arial" w:eastAsia="Arial" w:hAnsi="Arial"/>
          <w:sz w:val="14"/>
          <w:szCs w:val="14"/>
          <w:i w:val="1"/>
          <w:iCs w:val="1"/>
          <w:color w:val="auto"/>
        </w:rPr>
        <w:t>CheHang</w:t>
      </w:r>
      <w:r>
        <w:rPr>
          <w:rFonts w:ascii="Arial" w:cs="Arial" w:eastAsia="Arial" w:hAnsi="Arial"/>
          <w:sz w:val="14"/>
          <w:szCs w:val="14"/>
          <w:color w:val="auto"/>
        </w:rPr>
        <w:t xml:space="preserve"> 168, our platform serving new car brokers, as this user base has been undergoing an industry-wide transition in light of intensified competition in the new car market in China.</w:t>
      </w:r>
    </w:p>
    <w:p>
      <w:pPr>
        <w:spacing w:after="0" w:line="54"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5"/>
        </w:numPr>
        <w:rPr>
          <w:rFonts w:ascii="Arial" w:cs="Arial" w:eastAsia="Arial" w:hAnsi="Arial"/>
          <w:sz w:val="11"/>
          <w:szCs w:val="11"/>
          <w:color w:val="auto"/>
        </w:rPr>
      </w:pPr>
      <w:r>
        <w:rPr>
          <w:rFonts w:ascii="Arial" w:cs="Arial" w:eastAsia="Arial" w:hAnsi="Arial"/>
          <w:sz w:val="14"/>
          <w:szCs w:val="14"/>
          <w:color w:val="auto"/>
        </w:rPr>
        <w:t>The ARPU of our monetized dealers and brokers was RMB3,399 for the three months ended March 31, 2026, an 18.3% increase from RMB2,872 for the three months ended March 31, 2025.</w:t>
      </w:r>
    </w:p>
    <w:p>
      <w:pPr>
        <w:spacing w:after="0" w:line="44" w:lineRule="exact"/>
        <w:rPr>
          <w:rFonts w:ascii="Arial" w:cs="Arial" w:eastAsia="Arial" w:hAnsi="Arial"/>
          <w:sz w:val="11"/>
          <w:szCs w:val="11"/>
          <w:color w:val="auto"/>
        </w:rPr>
      </w:pPr>
    </w:p>
    <w:p>
      <w:pPr>
        <w:jc w:val="both"/>
        <w:ind w:left="1860" w:right="1458" w:hanging="130"/>
        <w:spacing w:after="0" w:line="239" w:lineRule="auto"/>
        <w:tabs>
          <w:tab w:leader="none" w:pos="1864" w:val="left"/>
        </w:tabs>
        <w:numPr>
          <w:ilvl w:val="0"/>
          <w:numId w:val="15"/>
        </w:numPr>
        <w:rPr>
          <w:rFonts w:ascii="Arial" w:cs="Arial" w:eastAsia="Arial" w:hAnsi="Arial"/>
          <w:sz w:val="11"/>
          <w:szCs w:val="11"/>
          <w:color w:val="auto"/>
        </w:rPr>
      </w:pPr>
      <w:r>
        <w:rPr>
          <w:rFonts w:ascii="Arial" w:cs="Arial" w:eastAsia="Arial" w:hAnsi="Arial"/>
          <w:sz w:val="14"/>
          <w:szCs w:val="14"/>
          <w:color w:val="auto"/>
        </w:rPr>
        <w:t xml:space="preserve">In addition, as of March 31, 2026, 68 of the top 100 used car dealers in China in 2025, as ranked by the China Automobile Dealers Association, had used our operating system, </w:t>
      </w:r>
      <w:r>
        <w:rPr>
          <w:rFonts w:ascii="Arial" w:cs="Arial" w:eastAsia="Arial" w:hAnsi="Arial"/>
          <w:sz w:val="14"/>
          <w:szCs w:val="14"/>
          <w:i w:val="1"/>
          <w:iCs w:val="1"/>
          <w:color w:val="auto"/>
        </w:rPr>
        <w:t>DaFengChe</w:t>
      </w:r>
      <w:r>
        <w:rPr>
          <w:rFonts w:ascii="Arial" w:cs="Arial" w:eastAsia="Arial" w:hAnsi="Arial"/>
          <w:sz w:val="14"/>
          <w:szCs w:val="14"/>
          <w:color w:val="auto"/>
        </w:rPr>
        <w:t>, for more than five years, and 93 of them had used</w:t>
      </w:r>
      <w:r>
        <w:rPr>
          <w:rFonts w:ascii="Arial" w:cs="Arial" w:eastAsia="Arial" w:hAnsi="Arial"/>
          <w:sz w:val="14"/>
          <w:szCs w:val="14"/>
          <w:i w:val="1"/>
          <w:iCs w:val="1"/>
          <w:color w:val="auto"/>
        </w:rPr>
        <w:t xml:space="preserve"> DaFengChe </w:t>
      </w:r>
      <w:r>
        <w:rPr>
          <w:rFonts w:ascii="Arial" w:cs="Arial" w:eastAsia="Arial" w:hAnsi="Arial"/>
          <w:sz w:val="14"/>
          <w:szCs w:val="14"/>
          <w:color w:val="auto"/>
        </w:rPr>
        <w:t>for more than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two years. Furthermore, the number of unique individual accounts that accessed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at least once increased from 242,441 for the three months ended March 31, 2025 to 247,238 for the three months ended March 31, 2026.</w:t>
      </w:r>
    </w:p>
    <w:p>
      <w:pPr>
        <w:spacing w:after="0" w:line="5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Our selected financial data for the three months ended March 31, 2026 are as follows:</w:t>
      </w:r>
    </w:p>
    <w:p>
      <w:pPr>
        <w:spacing w:after="0" w:line="78" w:lineRule="exact"/>
        <w:rPr>
          <w:sz w:val="20"/>
          <w:szCs w:val="20"/>
          <w:color w:val="auto"/>
        </w:rPr>
      </w:pPr>
    </w:p>
    <w:p>
      <w:pPr>
        <w:jc w:val="both"/>
        <w:ind w:left="1860" w:right="1458" w:hanging="130"/>
        <w:spacing w:after="0" w:line="234" w:lineRule="auto"/>
        <w:tabs>
          <w:tab w:leader="none" w:pos="1864" w:val="left"/>
        </w:tabs>
        <w:numPr>
          <w:ilvl w:val="0"/>
          <w:numId w:val="16"/>
        </w:numPr>
        <w:rPr>
          <w:rFonts w:ascii="Arial" w:cs="Arial" w:eastAsia="Arial" w:hAnsi="Arial"/>
          <w:sz w:val="11"/>
          <w:szCs w:val="11"/>
          <w:color w:val="auto"/>
        </w:rPr>
      </w:pPr>
      <w:r>
        <w:rPr>
          <w:rFonts w:ascii="Arial" w:cs="Arial" w:eastAsia="Arial" w:hAnsi="Arial"/>
          <w:sz w:val="14"/>
          <w:szCs w:val="14"/>
          <w:b w:val="1"/>
          <w:bCs w:val="1"/>
          <w:i w:val="1"/>
          <w:iCs w:val="1"/>
          <w:color w:val="auto"/>
        </w:rPr>
        <w:t>Revenues</w:t>
      </w:r>
      <w:r>
        <w:rPr>
          <w:rFonts w:ascii="Arial" w:cs="Arial" w:eastAsia="Arial" w:hAnsi="Arial"/>
          <w:sz w:val="14"/>
          <w:szCs w:val="14"/>
          <w:color w:val="auto"/>
        </w:rPr>
        <w:t>. Our total revenues for the three months ended March 31, 2026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RMB146.6 million (US$21.2 million), compared to total revenues of RMB142.7 million during the same period in 2025. Revenues from our digitalization solutions decreased by 21.1% from RMB12.8 million for the three months ended March 31, 2025 to RMB10.1 million (US$1.5 million) for the three months ended March 31, 2026, primarily attributable to a decrease in revenues from customer engagement solutions provided to OEMs, as we continued to adopt a more selective approach to accepting new projects due to profitability and receivable collection requirements. Revenues from our transaction services increased by 5.0% from RMB130.0 million for the three months ended March 31, 2025 to RMB136.5 million (US$19.8 million) for the three months ended March 31, 2026, primarily attributable to an increase in revenues from used car inspection and certification services and an increase in revenues from marketing and other services. The increase in revenues from inspection and certification services was primarily driven by increased demand for such services. The increase in revenues from marketing and other services primarily reflected increases in revenues from dealer-facing promotion services, partially offset by the cessation of certain social-media promotion service revenues to OEMs.</w:t>
      </w:r>
    </w:p>
    <w:p>
      <w:pPr>
        <w:spacing w:after="0" w:line="61" w:lineRule="exact"/>
        <w:rPr>
          <w:rFonts w:ascii="Arial" w:cs="Arial" w:eastAsia="Arial" w:hAnsi="Arial"/>
          <w:sz w:val="11"/>
          <w:szCs w:val="11"/>
          <w:color w:val="auto"/>
        </w:rPr>
      </w:pPr>
    </w:p>
    <w:p>
      <w:pPr>
        <w:jc w:val="both"/>
        <w:ind w:left="1860" w:right="1458" w:hanging="130"/>
        <w:spacing w:after="0" w:line="239" w:lineRule="auto"/>
        <w:tabs>
          <w:tab w:leader="none" w:pos="1864" w:val="left"/>
        </w:tabs>
        <w:numPr>
          <w:ilvl w:val="0"/>
          <w:numId w:val="16"/>
        </w:numPr>
        <w:rPr>
          <w:rFonts w:ascii="Arial" w:cs="Arial" w:eastAsia="Arial" w:hAnsi="Arial"/>
          <w:sz w:val="11"/>
          <w:szCs w:val="11"/>
          <w:color w:val="auto"/>
        </w:rPr>
      </w:pPr>
      <w:r>
        <w:rPr>
          <w:rFonts w:ascii="Arial" w:cs="Arial" w:eastAsia="Arial" w:hAnsi="Arial"/>
          <w:sz w:val="14"/>
          <w:szCs w:val="14"/>
          <w:b w:val="1"/>
          <w:bCs w:val="1"/>
          <w:i w:val="1"/>
          <w:iCs w:val="1"/>
          <w:color w:val="auto"/>
        </w:rPr>
        <w:t>Gross Profit &amp; Gross Margin</w:t>
      </w:r>
      <w:r>
        <w:rPr>
          <w:rFonts w:ascii="Arial" w:cs="Arial" w:eastAsia="Arial" w:hAnsi="Arial"/>
          <w:sz w:val="14"/>
          <w:szCs w:val="14"/>
          <w:color w:val="auto"/>
        </w:rPr>
        <w:t>. Our gross profit for the three months ended March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2026 was RMB53.9 million (US$7.8 million), compared to RMB57.7 million for the three months ended March 31, 2025. Our gross margin decreased from 40.5% for the three months ended March 31, 2025, to 36.8% for the three months ended March 31, 2026 due to increased costs of the delivery services due to increased fuel prices that our suppliers faced, and lower profit margin for certain of the dealer-facing promotion services.</w:t>
      </w:r>
    </w:p>
    <w:p>
      <w:pPr>
        <w:spacing w:after="0" w:line="54" w:lineRule="exact"/>
        <w:rPr>
          <w:rFonts w:ascii="Arial" w:cs="Arial" w:eastAsia="Arial" w:hAnsi="Arial"/>
          <w:sz w:val="11"/>
          <w:szCs w:val="11"/>
          <w:color w:val="auto"/>
        </w:rPr>
      </w:pPr>
    </w:p>
    <w:p>
      <w:pPr>
        <w:jc w:val="both"/>
        <w:ind w:left="1860" w:right="1458" w:hanging="130"/>
        <w:spacing w:after="0" w:line="251" w:lineRule="auto"/>
        <w:tabs>
          <w:tab w:leader="none" w:pos="1844" w:val="left"/>
        </w:tabs>
        <w:numPr>
          <w:ilvl w:val="0"/>
          <w:numId w:val="16"/>
        </w:numPr>
        <w:rPr>
          <w:rFonts w:ascii="Arial" w:cs="Arial" w:eastAsia="Arial" w:hAnsi="Arial"/>
          <w:sz w:val="11"/>
          <w:szCs w:val="11"/>
          <w:b w:val="1"/>
          <w:bCs w:val="1"/>
          <w:i w:val="1"/>
          <w:iCs w:val="1"/>
          <w:color w:val="auto"/>
        </w:rPr>
      </w:pPr>
      <w:r>
        <w:rPr>
          <w:rFonts w:ascii="Arial" w:cs="Arial" w:eastAsia="Arial" w:hAnsi="Arial"/>
          <w:sz w:val="14"/>
          <w:szCs w:val="14"/>
          <w:b w:val="1"/>
          <w:bCs w:val="1"/>
          <w:i w:val="1"/>
          <w:iCs w:val="1"/>
          <w:color w:val="auto"/>
        </w:rPr>
        <w:t xml:space="preserve">Net Loss. </w:t>
      </w:r>
      <w:r>
        <w:rPr>
          <w:rFonts w:ascii="Arial" w:cs="Arial" w:eastAsia="Arial" w:hAnsi="Arial"/>
          <w:sz w:val="14"/>
          <w:szCs w:val="14"/>
          <w:color w:val="auto"/>
        </w:rPr>
        <w:t>As a result of the foregoing, our net loss for the three months ended March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2026 was RMB29.2 million (US$4.2 million), compared to net loss of RMB39.6 million for the three months ended March 31, 2025.</w:t>
      </w: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 w:name="page21"/>
    <w:bookmarkEnd w:id="2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16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59225" cy="5916295"/>
                    </a:xfrm>
                    <a:prstGeom prst="rect">
                      <a:avLst/>
                    </a:prstGeom>
                    <a:noFill/>
                  </pic:spPr>
                </pic:pic>
              </a:graphicData>
            </a:graphic>
          </wp:anchor>
        </w:drawing>
      </w:r>
    </w:p>
    <w:p>
      <w:pPr>
        <w:spacing w:after="0" w:line="203"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In future periods, our results of operations may vary as we further expand our business. Our financial and operating data for the three months ended March 31, 2026 may not be indicative of our full year results for the year ended December 31, 2026 or our results for future periods. Please refer to “Management’s Discussion and Analysis of Financial Condition and Results of Operations — Selected Quarterly Results of Operations” for information regarding trends and other factors that may affect our results of operations.</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Disposition of Our Financial Product Referral Services</w:t>
      </w:r>
    </w:p>
    <w:p>
      <w:pPr>
        <w:spacing w:after="0" w:line="78"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We offered financial product referral services, whereby we connect financial institutions directly with used car dealers, who would recommend financial products, namely, used car loans, to their customers. We received commissions from the financial institutions based on the loan amounts achieved through such used car dealers that we connected for them. We did not participate in assessing any consumer’s creditworthiness for receiving a loan, did not enter into any contract with consumers, did not receive any loan proceeds in our cash flows, and did not bear any responsibility for the ultimate performance of the loans. The revenue generated from such financial product referral services amounted to RMB233.8 million and RMB256.4 million, representing 25.7% and 27.0% of our total revenues, in 2023 and 2024, respectively.</w:t>
      </w:r>
    </w:p>
    <w:p>
      <w:pPr>
        <w:spacing w:after="0" w:line="53"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After careful assessment, management concluded in the fourth quarter of 2024 that continuing to provide financial product referral services would consume significant management attention and resources, presenting uncertainties that may outweigh potential benefits. In November 2024, we entered into agreements with Zhejiang Dasouche Boxin Auto Sales Co., Ltd. (the “Acquirer”), a wholly owned subsidiary of Souche Holdings Ltd., to sell all of our equity interests in the PRC entities operating the financial product referral services to the Acquirer for an aggregate consideration of RMB180.3 million (the “Disposition”). The transaction was closed in December 2024. Following the Disposition, we no longer offer financial product referral services, and the primary assets of the PRC entities operating the financial product referral services, including the business cooperation agreements with financial institutions, were transferred to the Acquirer.</w:t>
      </w:r>
    </w:p>
    <w:p>
      <w:pPr>
        <w:spacing w:after="0" w:line="56"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The Disposition reflects our decision to better allocate corporate resources to serve essential needs of used car dealers. As part of our long-term strategy, we continuously evaluate market conditions and regulatory landscape, and adjust our business portfolio to stay competitive and responsive to industry changes. We do not consider the Disposition to be a strategic shift as we remain committed to enabling and empowering auto merchants by providing digitalization solutions and various types of transaction services.</w:t>
      </w:r>
    </w:p>
    <w:p>
      <w:pPr>
        <w:spacing w:after="0" w:line="55"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The above does not purport to be a complete description of the Disposition and is qualified in its entirety by reference to the full text of Exhibits 10.24 and 10.25 to the registration statement of which this prospectus forms a part.</w:t>
      </w:r>
    </w:p>
    <w:p>
      <w:pPr>
        <w:spacing w:after="0" w:line="3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Permission Required from the PRC Authorities for Our Operations and Offerings</w:t>
      </w:r>
    </w:p>
    <w:p>
      <w:pPr>
        <w:spacing w:after="0" w:line="59"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Prerequisite Regulatory Licenses, Permits and Approvals</w:t>
      </w:r>
    </w:p>
    <w:p>
      <w:pPr>
        <w:spacing w:after="0" w:line="76" w:lineRule="exact"/>
        <w:rPr>
          <w:sz w:val="20"/>
          <w:szCs w:val="20"/>
          <w:color w:val="auto"/>
        </w:rPr>
      </w:pPr>
    </w:p>
    <w:p>
      <w:pPr>
        <w:jc w:val="both"/>
        <w:ind w:left="1480" w:right="1458" w:firstLine="249"/>
        <w:spacing w:after="0" w:line="234" w:lineRule="auto"/>
        <w:rPr>
          <w:sz w:val="20"/>
          <w:szCs w:val="20"/>
          <w:color w:val="auto"/>
        </w:rPr>
      </w:pPr>
      <w:r>
        <w:rPr>
          <w:rFonts w:ascii="Arial" w:cs="Arial" w:eastAsia="Arial" w:hAnsi="Arial"/>
          <w:sz w:val="14"/>
          <w:szCs w:val="14"/>
          <w:color w:val="auto"/>
        </w:rPr>
        <w:t>Except as disclosed in “Risk Factors — Risk Related to Our Business and Industry — Failure to obtain licenses, permits and approvals from, or complete filings with, competent regulatory authorities required for our business operations may materially and adversely affect our business, financial condition and results of operations,” based on the advice of our PRC legal advisor, we believe our PRC subsidiaries and the VIEs have obtained the material requisite licenses and permits from, or completed the necessary filings with, the PRC government authorities for their business operations in China. These licenses, permits and filings include Internet Content Provider License (the “ICP License”), Electronic Data Intercharge License (the “EDI License”), Filing of Operating Entities Engaged in Used Car Related Business, Auction Permit and Road Transportation Operation Permit, among others. Given the changes and developments of interpretation and implementation of relevant laws and regulations and the enforcement practice by relevant government authorities, we may be required to obtain additional licenses, permits or approvals or complete additional filings for our and the VIEs’ business operations in the future. If we or any of the VIEs is found to be in violation of any existing or future PRC laws or regulations, or fail to obtain or maintain any of the required permits or approvals in a timely manner, or at all, the competent PRC regulatory authorities would have discretion to take action regarding</w:t>
      </w:r>
    </w:p>
    <w:p>
      <w:pPr>
        <w:spacing w:after="0" w:line="26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 w:name="page22"/>
    <w:bookmarkEnd w:id="2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82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59225" cy="5982335"/>
                    </a:xfrm>
                    <a:prstGeom prst="rect">
                      <a:avLst/>
                    </a:prstGeom>
                    <a:noFill/>
                  </pic:spPr>
                </pic:pic>
              </a:graphicData>
            </a:graphic>
          </wp:anchor>
        </w:drawing>
      </w:r>
    </w:p>
    <w:p>
      <w:pPr>
        <w:spacing w:after="0" w:line="203" w:lineRule="exact"/>
        <w:rPr>
          <w:sz w:val="20"/>
          <w:szCs w:val="20"/>
          <w:color w:val="auto"/>
        </w:rPr>
      </w:pPr>
    </w:p>
    <w:p>
      <w:pPr>
        <w:jc w:val="both"/>
        <w:ind w:left="1480" w:right="1458"/>
        <w:spacing w:after="0" w:line="255" w:lineRule="auto"/>
        <w:rPr>
          <w:sz w:val="20"/>
          <w:szCs w:val="20"/>
          <w:color w:val="auto"/>
        </w:rPr>
      </w:pPr>
      <w:r>
        <w:rPr>
          <w:rFonts w:ascii="Arial" w:cs="Arial" w:eastAsia="Arial" w:hAnsi="Arial"/>
          <w:sz w:val="13"/>
          <w:szCs w:val="13"/>
          <w:color w:val="auto"/>
        </w:rPr>
        <w:t>such violations or failures. In addition, if we had inadvertently concluded that any approvals, permits, registrations or filings were not required, or if applicable laws, regulations or interpretations change in a way that requires us to obtain additional approvals, permits, registrations or filings in the future, we may be unable to obtain such necessary approvals, permits, registrations or filings in a timely manner, or at all.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operations. For risks relating to licenses and approvals required for our operations in China, see “Risk Factors — Risk Related to Our Business and Industry — 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130"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Cybersecurity Review</w:t>
      </w:r>
    </w:p>
    <w:p>
      <w:pPr>
        <w:spacing w:after="0" w:line="76"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On December 28, 2021, the Cyberspace Administration of China (the “CAC”), and 12 other PRC government authorities jointly published the amended Cybersecurity Review Measures, which came into effect on February 15, 2022. The final Cybersecurity Review Measures provide that a “network platform operator” that possesses personal information of more than one million users and seeks a listing in a foreign country must apply for a cybersecurity review. Further, the competent PRC governmental authorities have the authority to initiate a cybersecurity review even without a specific application against a company if they determine certain network products, services or data processing activities of such company affect or may affect national security.</w:t>
      </w:r>
    </w:p>
    <w:p>
      <w:pPr>
        <w:spacing w:after="0" w:line="56"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102"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CSRC Filing Requirements</w:t>
      </w:r>
    </w:p>
    <w:p>
      <w:pPr>
        <w:spacing w:after="0" w:line="76"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The Trial Administrative Measures of the Overseas Securities Offering and Listing by Domestic Companies, along with five supporting guidelines, or the New Overseas Listing Rules, promulgated by CSRC, became effective on March 31, 2023. According to the New Overseas Listing Rules, PRC domestic companies that seek to offer and list securities in overseas markets, either through direct or indirect means, are required to complete the filing procedure with the CSRC and report relevant information.</w:t>
      </w:r>
    </w:p>
    <w:p>
      <w:pPr>
        <w:spacing w:after="0" w:line="55"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We have filed with the CSRC regarding this offering within the timeframe required under the New Overseas Listing Rules after our first submission of the registration statement to the SEC for its nonpublic review. We have completed the filing procedure with the CSRC for this offering, and the CSRC has concluded the filing procedure and published the filing results on the CSRC website on April 24, 2026. Pursuant to the CSRC filing notification, we shall inform CSRC about our completed offering within 15 working days thereof. As of the date of this prospectus, we have not been denied for or failed to complete any permissions, approvals or filings required from Chinese authorities to offer the securities being registered hereunder to foreign investors in this offering. Therefore, we believe we have obtained all requisite permissions and approvals from, and completed all necessary filings with, the competent PRC authorities as are explicitly required under currently effective PRC laws, regulations and rules currently in effect for the commencement of this offering.</w:t>
      </w:r>
    </w:p>
    <w:p>
      <w:pPr>
        <w:spacing w:after="0" w:line="59"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For details of the risks associated with the CSRC filing requirements, see “Risk Factors — Risks Related to the ADSs and This Offering — The filing, approval or other administration requirements of the China Securities Regulatory Commission or other PRC regulatory agencies may be required in connection with this offering under PRC law.”</w:t>
      </w:r>
    </w:p>
    <w:p>
      <w:pPr>
        <w:spacing w:after="0" w:line="110"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Implications of the Holding Foreign Companies Accountable Act</w:t>
      </w:r>
    </w:p>
    <w:p>
      <w:pPr>
        <w:spacing w:after="0" w:line="78"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Trading in our securities on U.S. markets, including the Nasdaq, may be prohibited under the Holding Foreign Companies Accountable Act (the “HFCAA”) if the Public Company Accounting Oversight Board (the “PCAOB”) determines that it is unable to inspect or investigate completely</w:t>
      </w:r>
    </w:p>
    <w:p>
      <w:pPr>
        <w:spacing w:after="0" w:line="24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 w:name="page23"/>
    <w:bookmarkEnd w:id="2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09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59225" cy="5909310"/>
                    </a:xfrm>
                    <a:prstGeom prst="rect">
                      <a:avLst/>
                    </a:prstGeom>
                    <a:noFill/>
                  </pic:spPr>
                </pic:pic>
              </a:graphicData>
            </a:graphic>
          </wp:anchor>
        </w:drawing>
      </w:r>
    </w:p>
    <w:p>
      <w:pPr>
        <w:spacing w:after="0" w:line="203" w:lineRule="exact"/>
        <w:rPr>
          <w:sz w:val="20"/>
          <w:szCs w:val="20"/>
          <w:color w:val="auto"/>
        </w:rPr>
      </w:pPr>
    </w:p>
    <w:p>
      <w:pPr>
        <w:jc w:val="both"/>
        <w:ind w:left="1480" w:right="1458"/>
        <w:spacing w:after="0" w:line="251" w:lineRule="auto"/>
        <w:rPr>
          <w:sz w:val="20"/>
          <w:szCs w:val="20"/>
          <w:color w:val="auto"/>
        </w:rPr>
      </w:pPr>
      <w:r>
        <w:rPr>
          <w:rFonts w:ascii="Arial" w:cs="Arial" w:eastAsia="Arial" w:hAnsi="Arial"/>
          <w:sz w:val="13"/>
          <w:szCs w:val="13"/>
          <w:color w:val="auto"/>
        </w:rPr>
        <w:t>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 regards to its ability to inspect and investigate completely accounting firms based in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For more details, see “Risk Factors — Risks Related to Doing Business in China — The evolving PRC legal system, including uncertainties regarding the enforcement of laws, and sudden or unexpected changes in laws and regulations in China could adversely affect us and limit the legal protections available to you and us,” “Risk Factors — Risks Related to Doing Business in China — We are subject to uncertainties of conducting the company’s business operations in China. The PRC government exerts substantial influence over the manner in which we conduct our business operations. It may influence or intervene in our operations at any time as part of its efforts to enforce PRC law, which could result in a material adverse change in our operations and the value of the ADSs,” “Risk Factors — Risks Related to Doing Business in China — If the PCAOB is prevented from fully evaluating audits and quality control procedures of our auditor, investors may be deprived of the benefits of such PCAOB inspections” and “Risk Factors — Risks Related to Doing Business in China — The Holding Foreign Companies Accountable Act may result in the delisting of the ADSs. The delisting of our ADSs, or the threat of their being delisted, may materially and adversely affect the value of your investment.”</w:t>
      </w:r>
    </w:p>
    <w:p>
      <w:pPr>
        <w:spacing w:after="0" w:line="200" w:lineRule="exact"/>
        <w:rPr>
          <w:sz w:val="20"/>
          <w:szCs w:val="20"/>
          <w:color w:val="auto"/>
        </w:rPr>
      </w:pP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Contractual Arrangements and Corporate Structure</w:t>
      </w:r>
    </w:p>
    <w:p>
      <w:pPr>
        <w:spacing w:after="0" w:line="109"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We are a Cayman Islands company and currently conduct substantially all of our business operations in the PRC through the WFOEs and other PRC subsidiaries and the VIEs, as well as their respective subsidiaries. Hangzhou Dasouche Information Technology Service Co., Ltd. and CheYiPai (Beijing) Automotive Technology Service Co., Ltd. conduct their businesses mainly through Hangzhou Souche and Beijing Peak, namely the VIEs, through a series of contractual arrangements. These business operations account for a significant portion of our businesses operated in the PRC. The VIEs and their subsidiaries generated 37.7%, 42.1% and 59.8% of our total revenues in 2023, 2024 and 2025, respectively. As of December 31, 2024 and 2025, the total current assets and non-current assets of the VIEs and their subsidiaries accounted for 62.3% and 63.9% of our consolidated total assets, respectively. The VIEs also hold certain key licenses and permits that are necessary for us to conduct our business.</w:t>
      </w:r>
    </w:p>
    <w:p>
      <w:pPr>
        <w:spacing w:after="0" w:line="54"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We operate our businesses using the VIE structure because PRC laws and regulations restrict foreign investment in companies that engage in value-added telecommunications services. The contractual arrangements we have entered into with the VIEs give us the power to direct the activities that most significantly affect the economic performance of the VIEs and receive substantially all of the economic benefits of the VIEs, and we have an exclusive option to purchase all or part of the equity interests in the VIEs when and to the extent permitted by PRC law. These contractual arrangements</w:t>
      </w: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 w:name="page24"/>
    <w:bookmarkEnd w:id="2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35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59225" cy="5935980"/>
                    </a:xfrm>
                    <a:prstGeom prst="rect">
                      <a:avLst/>
                    </a:prstGeom>
                    <a:noFill/>
                  </pic:spPr>
                </pic:pic>
              </a:graphicData>
            </a:graphic>
          </wp:anchor>
        </w:drawing>
      </w:r>
    </w:p>
    <w:p>
      <w:pPr>
        <w:spacing w:after="0" w:line="203" w:lineRule="exact"/>
        <w:rPr>
          <w:sz w:val="20"/>
          <w:szCs w:val="20"/>
          <w:color w:val="auto"/>
        </w:rPr>
      </w:pPr>
    </w:p>
    <w:p>
      <w:pPr>
        <w:jc w:val="both"/>
        <w:ind w:left="1480" w:right="1458"/>
        <w:spacing w:after="0" w:line="238" w:lineRule="auto"/>
        <w:rPr>
          <w:sz w:val="20"/>
          <w:szCs w:val="20"/>
          <w:color w:val="auto"/>
        </w:rPr>
      </w:pPr>
      <w:r>
        <w:rPr>
          <w:rFonts w:ascii="Arial" w:cs="Arial" w:eastAsia="Arial" w:hAnsi="Arial"/>
          <w:sz w:val="14"/>
          <w:szCs w:val="14"/>
          <w:color w:val="auto"/>
        </w:rPr>
        <w:t>include the exclusive business cooperation agreement, exclusive equity interest option agreement, voting proxy agreement, share pledge agreement, individual shareholder undertaking and, where applicable, spousal undertaking. As a result of these contractual arrangements, as well as the financial support undertaking letters entered into between us and the VIEs and voting proxy agreements entered into between us and our WFOEs, we are considered the primary beneficiary of the VIEs and combine or consolidate their operating results in our financial statements under U.S. GAAP.</w:t>
      </w:r>
    </w:p>
    <w:p>
      <w:pPr>
        <w:spacing w:after="0" w:line="55"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We do not have any equity interests in the VIEs which are owned by certain nominee shareholders. Investors in our equity securities or the ADSs should note that they are purchasing equity securities of a Cayman Islands holding company rather than equity securities issued by our subsidiaries or the VIEs. Neither such investors nor the holding company itself have an equity ownership in, direct investment in, or control of, through such ownership or investment, the VIEs. Investors who are non-PRC residents may be prohibited from directly holding equity interests in the VIEs under current PRC laws and regulations.</w:t>
      </w:r>
    </w:p>
    <w:p>
      <w:pPr>
        <w:spacing w:after="0" w:line="55" w:lineRule="exact"/>
        <w:rPr>
          <w:sz w:val="20"/>
          <w:szCs w:val="20"/>
          <w:color w:val="auto"/>
        </w:rPr>
      </w:pPr>
    </w:p>
    <w:p>
      <w:pPr>
        <w:jc w:val="both"/>
        <w:ind w:left="1480" w:right="1458" w:firstLine="249"/>
        <w:spacing w:after="0" w:line="233" w:lineRule="auto"/>
        <w:rPr>
          <w:sz w:val="20"/>
          <w:szCs w:val="20"/>
          <w:color w:val="auto"/>
        </w:rPr>
      </w:pPr>
      <w:r>
        <w:rPr>
          <w:rFonts w:ascii="Arial" w:cs="Arial" w:eastAsia="Arial" w:hAnsi="Arial"/>
          <w:sz w:val="14"/>
          <w:szCs w:val="14"/>
          <w:color w:val="auto"/>
        </w:rPr>
        <w:t>Although our contractual arrangements with the VIEs allow us to be considered the primary beneficiary of the VIEs, which gives us the ability to combine or consolidate the VIEs’ operating results in our financial statements under the U.S. GAAP, such ability may be less effective than equity ownership, and we could face heightened risks and costs in enforcing these contractual arrangements, because the interpretation and application of current and future PRC laws, regulations and rules relating to the legality and enforceability of these contractual arrangements remain uncertain and are still evolving. For the risks related to the nominee shareholders of DSC’s VIEs, see “Risk Factors — Risks Related to Corporate Structure — Any failure by the VIEs or their shareholders to perform their obligations under our contractual arrangements with them would have a material adverse effect on our business.” If the PRC government finds such agreements to be illegal, we could be subject to penalties or be required to relinquish our interests in the VIEs. As of the date of this prospectus, our contractual arrangements with the VIEs have not been tested in any of the PRC courts. If the PRC government considers that our contractual arrangements with the VIEs do not comply with the PRC regulations on direct foreign investment in the relevant industries, or if the relevant PRC laws and regulations or the interpretation thereof change in the future, we could be subject to severe penalties or be forced to relinquish our interests in the VIEs, forfeit our rights under the contractual arrangements or otherwise significantly change our corporate structure. DSC and investors in the ADSs face uncertainty about potential future actions by the PRC government, which could affect the enforceability of our contractual arrangements with the VIEs and, consequently, significantly affect the financial condition and results of operations of DSC. If we are unable to assert our right to control the assets of the VIEs, or if the PRC government were to prohibit the VIE structure entirely, it could lead to a material adverse change in our operations, and the ADSs may significantly decline in value or become worthless. See “Risk Factors — Risks Related to Corporate Structure.”</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Our Corporate History and Organizational Structure</w:t>
      </w:r>
    </w:p>
    <w:p>
      <w:pPr>
        <w:spacing w:after="0" w:line="78"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Our current businesses date back to 2012 when we operated through Beijing Souche Network Technology Co., Ltd., or Beijing Souche, a PRC entity incorporated in November 2012. Souche Holdings Ltd, a company incorporated in the Cayman Islands in January 2013, subsequently became the holding company of Beijing Souche. Between 2017 and 2020, Souche Holdings Ltd acquired numerous businesses, such as used car inspection and certification services and delivery services, which are important parts of the businesses we operate today. In addition, Souche Holdings Ltd also owned and operated certain vehicle sales and leasing business through a number of other operating entities.</w:t>
      </w:r>
    </w:p>
    <w:p>
      <w:pPr>
        <w:spacing w:after="0" w:line="56"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We incorporated DSC Holdings Ltd. as our new ultimate holding company in the Cayman Islands in July 2021 and completed a series of transactions, which we refer to collectively as the “Restructuring.” As part of the Restructuring,</w:t>
      </w:r>
    </w:p>
    <w:p>
      <w:pPr>
        <w:spacing w:after="0" w:line="45" w:lineRule="exact"/>
        <w:rPr>
          <w:sz w:val="20"/>
          <w:szCs w:val="20"/>
          <w:color w:val="auto"/>
        </w:rPr>
      </w:pPr>
    </w:p>
    <w:p>
      <w:pPr>
        <w:jc w:val="both"/>
        <w:ind w:left="1860" w:right="1458" w:hanging="130"/>
        <w:spacing w:after="0" w:line="245" w:lineRule="auto"/>
        <w:tabs>
          <w:tab w:leader="none" w:pos="1844" w:val="left"/>
        </w:tabs>
        <w:numPr>
          <w:ilvl w:val="0"/>
          <w:numId w:val="17"/>
        </w:numPr>
        <w:rPr>
          <w:rFonts w:ascii="Arial" w:cs="Arial" w:eastAsia="Arial" w:hAnsi="Arial"/>
          <w:sz w:val="11"/>
          <w:szCs w:val="11"/>
          <w:color w:val="auto"/>
        </w:rPr>
      </w:pPr>
      <w:r>
        <w:rPr>
          <w:rFonts w:ascii="Arial" w:cs="Arial" w:eastAsia="Arial" w:hAnsi="Arial"/>
          <w:sz w:val="14"/>
          <w:szCs w:val="14"/>
          <w:color w:val="auto"/>
        </w:rPr>
        <w:t>The shareholders of Souche Holdings Ltd received ordinary shares and/or convertible redeemable preferred shares of DSC Holdings Ltd. such that their equity interests in DSC Holdings Ltd. are in substance the same as their interests in Souche Holdings Ltd immediately prior to the Restructuring;</w:t>
      </w:r>
    </w:p>
    <w:p>
      <w:pPr>
        <w:spacing w:after="0" w:line="25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 w:name="page25"/>
    <w:bookmarkEnd w:id="2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283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59225" cy="5283835"/>
                    </a:xfrm>
                    <a:prstGeom prst="rect">
                      <a:avLst/>
                    </a:prstGeom>
                    <a:noFill/>
                  </pic:spPr>
                </pic:pic>
              </a:graphicData>
            </a:graphic>
          </wp:anchor>
        </w:drawing>
      </w:r>
    </w:p>
    <w:p>
      <w:pPr>
        <w:spacing w:after="0" w:line="203" w:lineRule="exact"/>
        <w:rPr>
          <w:sz w:val="20"/>
          <w:szCs w:val="20"/>
          <w:color w:val="auto"/>
        </w:rPr>
      </w:pPr>
    </w:p>
    <w:p>
      <w:pPr>
        <w:jc w:val="both"/>
        <w:ind w:left="1860" w:right="1458" w:hanging="130"/>
        <w:spacing w:after="0" w:line="241" w:lineRule="auto"/>
        <w:tabs>
          <w:tab w:leader="none" w:pos="1844" w:val="left"/>
        </w:tabs>
        <w:numPr>
          <w:ilvl w:val="0"/>
          <w:numId w:val="18"/>
        </w:numPr>
        <w:rPr>
          <w:rFonts w:ascii="Arial" w:cs="Arial" w:eastAsia="Arial" w:hAnsi="Arial"/>
          <w:sz w:val="11"/>
          <w:szCs w:val="11"/>
          <w:color w:val="auto"/>
        </w:rPr>
      </w:pPr>
      <w:r>
        <w:rPr>
          <w:rFonts w:ascii="Arial" w:cs="Arial" w:eastAsia="Arial" w:hAnsi="Arial"/>
          <w:sz w:val="14"/>
          <w:szCs w:val="14"/>
          <w:color w:val="auto"/>
        </w:rPr>
        <w:t>Through a series of transactions, DSC Holdings Ltd. acquired the ownership and became the ultimate holding company of the entities through which our current businesses are conducted, namely Hangzhou Dasouche Information Technology Service Co., Ltd., CheYiPai (Beijing) Automotive Technology Service Co., Ltd. and Sichuan Dasouche Software Technology Co., Ltd.; and</w:t>
      </w:r>
    </w:p>
    <w:p>
      <w:pPr>
        <w:spacing w:after="0" w:line="52" w:lineRule="exact"/>
        <w:rPr>
          <w:rFonts w:ascii="Arial" w:cs="Arial" w:eastAsia="Arial" w:hAnsi="Arial"/>
          <w:sz w:val="11"/>
          <w:szCs w:val="11"/>
          <w:color w:val="auto"/>
        </w:rPr>
      </w:pPr>
    </w:p>
    <w:p>
      <w:pPr>
        <w:jc w:val="both"/>
        <w:ind w:left="1860" w:right="1458" w:hanging="130"/>
        <w:spacing w:after="0" w:line="241" w:lineRule="auto"/>
        <w:tabs>
          <w:tab w:leader="none" w:pos="1864" w:val="left"/>
        </w:tabs>
        <w:numPr>
          <w:ilvl w:val="0"/>
          <w:numId w:val="18"/>
        </w:numPr>
        <w:rPr>
          <w:rFonts w:ascii="Arial" w:cs="Arial" w:eastAsia="Arial" w:hAnsi="Arial"/>
          <w:sz w:val="11"/>
          <w:szCs w:val="11"/>
          <w:color w:val="auto"/>
        </w:rPr>
      </w:pPr>
      <w:r>
        <w:rPr>
          <w:rFonts w:ascii="Arial" w:cs="Arial" w:eastAsia="Arial" w:hAnsi="Arial"/>
          <w:sz w:val="14"/>
          <w:szCs w:val="14"/>
          <w:color w:val="auto"/>
        </w:rPr>
        <w:t>Hangzhou Dasouche Information Technology Service Co., Ltd. and CheYiPai (Beijing) Automotive Technology Service Co., Ltd., which we refer to as our WFOEs, have entered into certain contractual arrangements directly with Hangzhou Souche and Beijing Peak, which we refer to as the “VIEs,” and their respective shareholders. See “Corporate History and Structure — Contractual Arrangements with the VIEs and Their Shareholders.”</w:t>
      </w:r>
    </w:p>
    <w:p>
      <w:pPr>
        <w:spacing w:after="0" w:line="53"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Following the Restructuring, (i) DSC Holdings Ltd. became the ultimate holding company of our current business operations; and (ii) the vehicle sales and leasing business remains to be owned and operated by Souche Holdings Ltd.</w:t>
      </w:r>
    </w:p>
    <w:p>
      <w:pPr>
        <w:spacing w:after="0" w:line="45"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The shareholding percentages and rights of the shareholders of DSC Holdings Ltd. are identical to their interests in Souche Holdings Ltd immediately before and after the Restructuring. Accordingly, the Restructuring is accounted for as a transaction involving common ownership for financial reporting purposes because the same group of shareholders have identical ownership over the Company before and after the Restructuring.</w:t>
      </w:r>
    </w:p>
    <w:p>
      <w:pPr>
        <w:spacing w:after="0" w:line="53"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In August 2023, DSC Holdings Ltd. completed its Series G financing pursuant to which CTZC Limited purchased 24,422,238 Series G preferred shares for a total consideration of RMB300 million. For a description of issuances of our securities, see “Description of Share Capital — History of Securities Issuances.”</w:t>
      </w:r>
    </w:p>
    <w:p>
      <w:pPr>
        <w:spacing w:after="0" w:line="48"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In November 2024, we entered into agreements to sell all of our equity interests in the PRC entities operating the financial product referral services to Zhejiang Dasouche Boxin Auto Sales Co., Ltd., a wholly owned subsidiary of Souche Holdings Ltd. The transaction was closed in December 2024.</w:t>
      </w:r>
    </w:p>
    <w:p>
      <w:pPr>
        <w:spacing w:after="0" w:line="48"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The following diagram illustrates our corporate structure, including our significant subsidiaries as that term is defined under Section 1-02 of Regulation S-X under the Securities Act, the VIEs and certain other operating entities,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74" w:lineRule="exact"/>
        <w:rPr>
          <w:sz w:val="20"/>
          <w:szCs w:val="20"/>
          <w:color w:val="auto"/>
        </w:rPr>
      </w:pPr>
    </w:p>
    <w:p>
      <w:pPr>
        <w:jc w:val="both"/>
        <w:ind w:left="2080" w:right="1458" w:hanging="608"/>
        <w:spacing w:after="0" w:line="249" w:lineRule="auto"/>
        <w:rPr>
          <w:sz w:val="20"/>
          <w:szCs w:val="20"/>
          <w:color w:val="auto"/>
        </w:rPr>
      </w:pPr>
      <w:r>
        <w:rPr>
          <w:rFonts w:ascii="Arial" w:cs="Arial" w:eastAsia="Arial" w:hAnsi="Arial"/>
          <w:sz w:val="11"/>
          <w:szCs w:val="11"/>
          <w:color w:val="auto"/>
        </w:rPr>
        <w:t>Notes: (1) The shareholders of Hangzhou Souche Network Technology Co., Ltd. are Mr. Junhong Yao (92%), our founder, director and chief executive officer, and Mr. Liyu Zhang (8%), one of our co-founders.</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1"/>
          <w:szCs w:val="11"/>
          <w:color w:val="auto"/>
        </w:rPr>
        <w:t>(2)  The shareholders of Beijing Peak Technology Co., Ltd. are Mr. Junhong Yao (92%) and Mr. Liyu Zhang (8%).</w:t>
      </w:r>
    </w:p>
    <w:p>
      <w:pPr>
        <w:spacing w:after="0" w:line="26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 w:name="page26"/>
    <w:bookmarkEnd w:id="2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401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59225" cy="5401945"/>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Transfer of Funds and Other Assets through Our Organization</w:t>
      </w:r>
    </w:p>
    <w:p>
      <w:pPr>
        <w:spacing w:after="0" w:line="78"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3"/>
          <w:szCs w:val="13"/>
          <w:color w:val="auto"/>
        </w:rPr>
        <w:t>DSC, our Cayman Islands holding company, may transfer cash to its wholly owned subsidiaries incorporated in the Cayman Islands, the British Virgin Islands and Hong Kong through capital injections and intra-group loans. Similarly, DSC’s wholly owned subsidiaries in Hong Kong may transfer cash to our WFOEs and other PRC subsidiaries, through capital injections and intra -group loans. Cash is also transferred through our organization by way of intra -group transactions to pay for services or goods provided. Additionally, if our WFOEs and other PRC subsidiaries realize accumulated after-tax profits, they may, upon satisfaction of relevant statutory conditions and procedures, pay dividends or distribute earnings to DSC’s Hong Kong subsidiaries as the WFOEs’ and other PRC subsidiaries’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 Under current PRC laws and regulations, we are permitted to transfer funds to the VIEs through loans, rather than through capital contributions, since we do not own equity interests in the VIEs. In 2023, 2024 and 2025, the VIEs paid RMB49.7 million, RMB21.0 million and RMB6.9 million (US$ 1.0 million), respectively, to the WFOEs for certain administrative and delivery services the WFOEs provided to the VIEs, or as intra-group loans provided by the VIEs to the WFOEs to meet their working capital needs. Furthermore, in 2023, 2024 and 2025, the WFOEs transferred funds of RMB18.7 million, RMB6.9 million and nil, respectively, to the VIEs as payment of certain delivery, marketing and customer engagement solutions provided by VIEs to the WFOEs or as intra-group loans provided by the WFOEs to the VIEs to meet their working capital needs. For details, see “Prospectus Summary — Our Summary Combined and Consolidated Financial Data and Operating Data — VIE Consolidation Schedules.” As of the date of this prospectus, none of the WFOEs or our other PRC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 — Transfer of Funds and Other Assets through Our Organization,” “Corporate History and Structure — Regulatory Requirements on Foreign Exchange and the Ability to Transfer Cash Between Entities, Across Borders and to U.S. Investors” and “Corporate History and Structure — 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200" w:lineRule="exact"/>
        <w:rPr>
          <w:sz w:val="20"/>
          <w:szCs w:val="20"/>
          <w:color w:val="auto"/>
        </w:rPr>
      </w:pPr>
    </w:p>
    <w:p>
      <w:pPr>
        <w:spacing w:after="0" w:line="255"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auto"/>
        </w:rPr>
        <w:t>Dividends or Distributions Made to the Company and U.S. Investors and Tax Consequences</w:t>
      </w:r>
    </w:p>
    <w:p>
      <w:pPr>
        <w:spacing w:after="0" w:line="78"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As of the date of this prospectus, our WFOEs and other PRC subsidiaries have not paid any dividends or made any distributions to the Company, and the Company and the VIEs have not paid any dividends or made any distributions to their respective shareholders either.</w:t>
      </w:r>
    </w:p>
    <w:p>
      <w:pPr>
        <w:spacing w:after="0" w:line="45" w:lineRule="exact"/>
        <w:rPr>
          <w:sz w:val="20"/>
          <w:szCs w:val="20"/>
          <w:color w:val="auto"/>
        </w:rPr>
      </w:pPr>
    </w:p>
    <w:p>
      <w:pPr>
        <w:jc w:val="both"/>
        <w:ind w:left="1480" w:right="1458" w:firstLine="249"/>
        <w:spacing w:after="0" w:line="256" w:lineRule="auto"/>
        <w:rPr>
          <w:sz w:val="20"/>
          <w:szCs w:val="20"/>
          <w:color w:val="auto"/>
        </w:rPr>
      </w:pPr>
      <w:r>
        <w:rPr>
          <w:rFonts w:ascii="Arial" w:cs="Arial" w:eastAsia="Arial" w:hAnsi="Arial"/>
          <w:sz w:val="13"/>
          <w:szCs w:val="13"/>
          <w:color w:val="auto"/>
        </w:rPr>
        <w:t>According to the terms of the contractual arrangements that our WFOEs entered into with the VIEs, and the VIEs’ shareholders, our WFOEs have a right to charge the VIEs for services provided to them. These service fees shall be recognized as expenses of the VIEs and their subsidiaries, with a corresponding amount as revenue by our WFOEs and then completely eliminate in consolidation level. For income tax purposes, our WFOEs and VIEs file income tax returns on a separate company basis. The service fees paid are recognized as a tax deduction by the VIEs and as revenue by our WFOEs. The PRC’s statutory Enterprise Income Tax (“EIT”) rate is 25%. VIEs and certain of their subsidiaries are qualified for preferential EIT rate of 15% or entitled to reduction of taxable income. However, the preferential tax policy is subject to qualification and temporary in nature. It may not be available in a future period when the service fees are really paid.</w:t>
      </w: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 w:name="page27"/>
    <w:bookmarkEnd w:id="2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817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59225" cy="5817235"/>
                    </a:xfrm>
                    <a:prstGeom prst="rect">
                      <a:avLst/>
                    </a:prstGeom>
                    <a:noFill/>
                  </pic:spPr>
                </pic:pic>
              </a:graphicData>
            </a:graphic>
          </wp:anchor>
        </w:drawing>
      </w:r>
    </w:p>
    <w:p>
      <w:pPr>
        <w:spacing w:after="0" w:line="203" w:lineRule="exact"/>
        <w:rPr>
          <w:sz w:val="20"/>
          <w:szCs w:val="20"/>
          <w:color w:val="auto"/>
        </w:rPr>
      </w:pPr>
    </w:p>
    <w:p>
      <w:pPr>
        <w:jc w:val="both"/>
        <w:ind w:left="1480" w:right="1458" w:firstLine="249"/>
        <w:spacing w:after="0" w:line="234" w:lineRule="auto"/>
        <w:rPr>
          <w:sz w:val="20"/>
          <w:szCs w:val="20"/>
          <w:color w:val="auto"/>
        </w:rPr>
      </w:pPr>
      <w:r>
        <w:rPr>
          <w:rFonts w:ascii="Arial" w:cs="Arial" w:eastAsia="Arial" w:hAnsi="Arial"/>
          <w:sz w:val="14"/>
          <w:szCs w:val="14"/>
          <w:color w:val="auto"/>
        </w:rPr>
        <w:t>Furthermore, in accordance with the PRC Enterprise Income Tax Law, a withholding income tax of 10% is imposed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which could apply to our WFOEs and other PRC subsidiaries. In addition, subject to the passive foreign investment company rules, the gross amount of any distribution that we make to investor with respect to the ADSs or ordinary shares (including any amounts withheld to reflect PRC withholding taxes) will be taxable as a dividend, to the extent paid out of the current or accumulated earnings and profits of us and the VIEs, as determined under United States federal income tax principles. Moreover, if we are considered a PRC tax resident enterprise for tax purposes, any dividends we pay to our overseas shareholders may be regarded as China-sourced income and as a result may be subject to PRC withholding tax. See “Taxation — PRC Taxation” and “Risk Factors — Risks Related to the ADSs and This Offering — If we are classified as a PRC resident enterprise for PRC enterprise income tax purposes, such classification could result in unfavorable tax consequences to us and our non-PRC shareholders and ADS holders.”</w:t>
      </w:r>
    </w:p>
    <w:p>
      <w:pPr>
        <w:spacing w:after="0" w:line="145" w:lineRule="exact"/>
        <w:rPr>
          <w:sz w:val="20"/>
          <w:szCs w:val="20"/>
          <w:color w:val="auto"/>
        </w:rPr>
      </w:pPr>
    </w:p>
    <w:p>
      <w:pPr>
        <w:ind w:left="1480" w:right="1698"/>
        <w:spacing w:after="0" w:line="279" w:lineRule="auto"/>
        <w:rPr>
          <w:sz w:val="20"/>
          <w:szCs w:val="20"/>
          <w:color w:val="auto"/>
        </w:rPr>
      </w:pPr>
      <w:r>
        <w:rPr>
          <w:rFonts w:ascii="Arial" w:cs="Arial" w:eastAsia="Arial" w:hAnsi="Arial"/>
          <w:sz w:val="14"/>
          <w:szCs w:val="14"/>
          <w:b w:val="1"/>
          <w:bCs w:val="1"/>
          <w:color w:val="auto"/>
        </w:rPr>
        <w:t>Regulatory Requirements on Foreign Exchange and the Ability to Transfer Cash Between Entities, Across Borders and to U.S. Investors</w:t>
      </w:r>
    </w:p>
    <w:p>
      <w:pPr>
        <w:spacing w:after="0" w:line="51"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We currently have not maintained any cash management policies that dictate the purpose, amount and procedure of cash transfers between the Company, our WFOEs and other PRC subsidiaries, the VIEs or investors. Rather, the funds can be transferred in accordance with the applicable laws and regulations in the PRC and other jurisdictions. To the extent our cash in the business is in the PRC or a PRC entity, the funds may not be available to distribute dividends to our investors, or for other use outside of the PRC, due to oversight on or the regulatory requirements and limitations on the ability of us, our subsidiaries or the VIEs by the PRC government to transfer cash.</w:t>
      </w:r>
    </w:p>
    <w:p>
      <w:pPr>
        <w:spacing w:after="0" w:line="56"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The PRC government imposes regulatory restrictions on the convertibility of Renminbi into foreign currencies and, in certain cases, the remittance of currency out of China, and requires approval or registration in accordance with regulatory requirements. The majority of our and the VIEs’ income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Renminbi is converted into foreign currency and remitted out of China to pay capital expenses such as the repayment of loans denominated in foreign currencies. The PRC government may, in accordance with applicable laws and regulations, impose limitations on access to foreign currencies for current account transactions and if this occurs in the future, we may not be able to pay dividends in foreign currencies to our shareholders.</w:t>
      </w:r>
    </w:p>
    <w:p>
      <w:pPr>
        <w:spacing w:after="0" w:line="55"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Our cash dividends, if any, will be paid in U.S. dollars. If we are considered a PRC tax resident enterprise for tax purposes, any dividends we pay to our overseas shareholders may be regarded as China-sourced income and as a result may be subject to PRC withholding tax. See “Risk Factors — Risks Related to Doing Business in China — If we are classified as a PRC resident enterprise for PRC enterprise income tax purposes, such classification could result in unfavorable tax consequences to us and our non-PRC shareholders and ADS holders.”</w:t>
      </w:r>
    </w:p>
    <w:p>
      <w:pPr>
        <w:spacing w:after="0" w:line="55" w:lineRule="exact"/>
        <w:rPr>
          <w:sz w:val="20"/>
          <w:szCs w:val="20"/>
          <w:color w:val="auto"/>
        </w:rPr>
      </w:pPr>
    </w:p>
    <w:p>
      <w:pPr>
        <w:jc w:val="both"/>
        <w:ind w:left="1480" w:right="1458" w:firstLine="249"/>
        <w:spacing w:after="0" w:line="238" w:lineRule="auto"/>
        <w:rPr>
          <w:sz w:val="20"/>
          <w:szCs w:val="20"/>
          <w:color w:val="auto"/>
        </w:rPr>
      </w:pPr>
      <w:r>
        <w:rPr>
          <w:rFonts w:ascii="Arial" w:cs="Arial" w:eastAsia="Arial" w:hAnsi="Arial"/>
          <w:sz w:val="14"/>
          <w:szCs w:val="14"/>
          <w:color w:val="auto"/>
        </w:rPr>
        <w:t>Relevant PRC laws and regulations permit the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statutory reserves. As a result of these and other PRC laws and regulations, the PRC subsidiaries and the VIEs are restricted to transfer a portion of their net assets to the Company either in the</w:t>
      </w: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 w:name="page28"/>
    <w:bookmarkEnd w:id="2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4446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59225" cy="4446905"/>
                    </a:xfrm>
                    <a:prstGeom prst="rect">
                      <a:avLst/>
                    </a:prstGeom>
                    <a:noFill/>
                  </pic:spPr>
                </pic:pic>
              </a:graphicData>
            </a:graphic>
          </wp:anchor>
        </w:drawing>
      </w:r>
    </w:p>
    <w:p>
      <w:pPr>
        <w:spacing w:after="0" w:line="203" w:lineRule="exact"/>
        <w:rPr>
          <w:sz w:val="20"/>
          <w:szCs w:val="20"/>
          <w:color w:val="auto"/>
        </w:rPr>
      </w:pPr>
    </w:p>
    <w:p>
      <w:pPr>
        <w:jc w:val="both"/>
        <w:ind w:left="1480" w:right="1458"/>
        <w:spacing w:after="0" w:line="239" w:lineRule="auto"/>
        <w:rPr>
          <w:sz w:val="20"/>
          <w:szCs w:val="20"/>
          <w:color w:val="auto"/>
        </w:rPr>
      </w:pPr>
      <w:r>
        <w:rPr>
          <w:rFonts w:ascii="Arial" w:cs="Arial" w:eastAsia="Arial" w:hAnsi="Arial"/>
          <w:sz w:val="14"/>
          <w:szCs w:val="14"/>
          <w:color w:val="auto"/>
        </w:rPr>
        <w:t>form of dividends, loans or advances.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spacing w:after="0" w:line="107"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Certain Risks Associated with Our Corporate Structure</w:t>
      </w:r>
    </w:p>
    <w:p>
      <w:pPr>
        <w:spacing w:after="0" w:line="78"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We are an exempted company incorporated under the laws of the Cayman Islands that conducts substantially all of our operations in China through our PRC subsidiaries and the VIEs. In addition, all our senior executive officers reside within China for a significant portion of the time and all of them are PRC nationals or Hong Kong residents. As a result, it may be complex and costly for our shareholders to effect service of process upon us or those persons inside China.</w:t>
      </w:r>
    </w:p>
    <w:p>
      <w:pPr>
        <w:spacing w:after="0" w:line="53"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written treaties providing for the reciprocal recognition and enforcement of judgments of courts with the United States, the Cayman Islands or some other countries and regions. Therefore, it is uncertain whether the judgment of a court in any of these non-PRC jurisdictions in relation to any matter not subject to a binding arbitration provision can be recognized or enforced.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57"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as well as the corresponding foreign judgments on such claims, generally are difficult to pursue and enforce as a matter of law or practicality in many emerging markets, including China. See also “Risk Factors — Risks Related to Doing Business in China — You may experience difficulties in effecting service of legal process, enforcing foreign judgments or bringing actions in China against us or our management named in the prospectus based on foreign laws.”</w:t>
      </w:r>
    </w:p>
    <w:p>
      <w:pPr>
        <w:spacing w:after="0" w:line="26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 w:name="page29"/>
    <w:bookmarkEnd w:id="2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1429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59225" cy="1429385"/>
                    </a:xfrm>
                    <a:prstGeom prst="rect">
                      <a:avLst/>
                    </a:prstGeom>
                    <a:noFill/>
                  </pic:spPr>
                </pic:pic>
              </a:graphicData>
            </a:graphic>
          </wp:anchor>
        </w:drawing>
      </w:r>
    </w:p>
    <w:p>
      <w:pPr>
        <w:spacing w:after="0" w:line="28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OUR CORPORATE INFORMATION</w:t>
      </w:r>
    </w:p>
    <w:p>
      <w:pPr>
        <w:spacing w:after="0" w:line="109" w:lineRule="exact"/>
        <w:rPr>
          <w:sz w:val="20"/>
          <w:szCs w:val="20"/>
          <w:color w:val="auto"/>
        </w:rPr>
      </w:pPr>
    </w:p>
    <w:p>
      <w:pPr>
        <w:jc w:val="both"/>
        <w:ind w:left="1480" w:right="1458" w:firstLine="249"/>
        <w:spacing w:after="0" w:line="234" w:lineRule="auto"/>
        <w:rPr>
          <w:sz w:val="20"/>
          <w:szCs w:val="20"/>
          <w:color w:val="auto"/>
        </w:rPr>
      </w:pPr>
      <w:r>
        <w:rPr>
          <w:rFonts w:ascii="Arial" w:cs="Arial" w:eastAsia="Arial" w:hAnsi="Arial"/>
          <w:sz w:val="14"/>
          <w:szCs w:val="14"/>
          <w:color w:val="auto"/>
        </w:rPr>
        <w:t>Our principal offices are located at No. 2 Wangjiang North Road, Room 148, Zhongshan Community, Baiyun Street, Dongyang, Jinhua City, Zhejiang Province, China. Our telephone number at this address is +86 0571 8860 7326. Our registered office in the Cayman Islands is located at the offices of PO Box 309, Ugland House, Grand Cayman, KY1-1104, Cayman Islands. Our agent for service of process in the United States is located at 122 East 42</w:t>
      </w:r>
      <w:r>
        <w:rPr>
          <w:rFonts w:ascii="Arial" w:cs="Arial" w:eastAsia="Arial" w:hAnsi="Arial"/>
          <w:sz w:val="16"/>
          <w:szCs w:val="16"/>
          <w:color w:val="auto"/>
          <w:vertAlign w:val="superscript"/>
        </w:rPr>
        <w:t>nd</w:t>
      </w:r>
      <w:r>
        <w:rPr>
          <w:rFonts w:ascii="Arial" w:cs="Arial" w:eastAsia="Arial" w:hAnsi="Arial"/>
          <w:sz w:val="14"/>
          <w:szCs w:val="14"/>
          <w:color w:val="auto"/>
        </w:rPr>
        <w:t xml:space="preserve"> Street, 18</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10168.</w:t>
      </w:r>
    </w:p>
    <w:p>
      <w:pPr>
        <w:spacing w:after="0" w:line="84"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 xml:space="preserve">Investors should contact us for any inquiries through the address and telephone number of our principal executive office. Our principal website is </w:t>
      </w:r>
      <w:r>
        <w:rPr>
          <w:rFonts w:ascii="Arial" w:cs="Arial" w:eastAsia="Arial" w:hAnsi="Arial"/>
          <w:sz w:val="14"/>
          <w:szCs w:val="14"/>
          <w:i w:val="1"/>
          <w:iCs w:val="1"/>
          <w:color w:val="auto"/>
        </w:rPr>
        <w:t>www.dasouche.com</w:t>
      </w:r>
      <w:r>
        <w:rPr>
          <w:rFonts w:ascii="Arial" w:cs="Arial" w:eastAsia="Arial" w:hAnsi="Arial"/>
          <w:sz w:val="14"/>
          <w:szCs w:val="14"/>
          <w:color w:val="auto"/>
        </w:rPr>
        <w:t>. The information contained on our website is not a part of this prospectus.</w:t>
      </w:r>
    </w:p>
    <w:p>
      <w:pPr>
        <w:spacing w:after="0" w:line="24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 w:name="page30"/>
    <w:bookmarkEnd w:id="2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3109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59225" cy="3109595"/>
                    </a:xfrm>
                    <a:prstGeom prst="rect">
                      <a:avLst/>
                    </a:prstGeom>
                    <a:noFill/>
                  </pic:spPr>
                </pic:pic>
              </a:graphicData>
            </a:graphic>
          </wp:anchor>
        </w:drawing>
      </w:r>
    </w:p>
    <w:p>
      <w:pPr>
        <w:spacing w:after="0" w:line="28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09" w:lineRule="exact"/>
        <w:rPr>
          <w:sz w:val="20"/>
          <w:szCs w:val="20"/>
          <w:color w:val="auto"/>
        </w:rPr>
      </w:pPr>
    </w:p>
    <w:p>
      <w:pPr>
        <w:jc w:val="both"/>
        <w:ind w:left="1480" w:right="1458" w:firstLine="249"/>
        <w:spacing w:after="0" w:line="254" w:lineRule="auto"/>
        <w:rPr>
          <w:sz w:val="20"/>
          <w:szCs w:val="20"/>
          <w:color w:val="auto"/>
        </w:rPr>
      </w:pPr>
      <w:r>
        <w:rPr>
          <w:rFonts w:ascii="Arial" w:cs="Arial" w:eastAsia="Arial" w:hAnsi="Arial"/>
          <w:sz w:val="13"/>
          <w:szCs w:val="13"/>
          <w:color w:val="auto"/>
        </w:rPr>
        <w:t>As a company with less than US$1.235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226"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We will remain an emerging growth company until the earliest of (i) the last day of our fiscal year during which we have total annual gross revenues of at least US$1.235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 — Risks Related to the ADSs and This Offering — We are an emerging growth company within the meaning of the Securities Act and may take advantage of certain reduced reporting requirements.”</w:t>
      </w:r>
    </w:p>
    <w:p>
      <w:pPr>
        <w:spacing w:after="0" w:line="26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 w:name="page31"/>
    <w:bookmarkEnd w:id="3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2319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59225" cy="2319020"/>
                    </a:xfrm>
                    <a:prstGeom prst="rect">
                      <a:avLst/>
                    </a:prstGeom>
                    <a:noFill/>
                  </pic:spPr>
                </pic:pic>
              </a:graphicData>
            </a:graphic>
          </wp:anchor>
        </w:drawing>
      </w:r>
    </w:p>
    <w:p>
      <w:pPr>
        <w:spacing w:after="0" w:line="28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IMPLICATIONS OF BEING A FOREIGN PRIVATE ISSUER</w:t>
      </w:r>
    </w:p>
    <w:p>
      <w:pPr>
        <w:spacing w:after="0" w:line="109"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We are a foreign private issuer within the meaning of the rules under the Exchange Act, and as such we are exempt under the Exchange Act from, among other things, the rules under the Exchange Act requiring the filing of quarterly reports on Form 10-Q or current reports on Form 8-K with the SEC, the rules prescribing the furnishing and content of proxy statements. Our principal shareholders are exempt from the reporting provisions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will be required to file an annual report on Form 20-F within four months of the end of each fiscal year and we intend to publish our results on a quarterly basis. However, the information we are required to file with or furnish to the SEC will be less extensive and less timely compared to that required to be filed with the SEC by U.S. domestic issuers.</w:t>
      </w:r>
    </w:p>
    <w:p>
      <w:pPr>
        <w:spacing w:after="0" w:line="78" w:lineRule="exact"/>
        <w:rPr>
          <w:sz w:val="20"/>
          <w:szCs w:val="20"/>
          <w:color w:val="auto"/>
        </w:rPr>
      </w:pPr>
    </w:p>
    <w:p>
      <w:pPr>
        <w:jc w:val="both"/>
        <w:ind w:left="1480" w:right="1458" w:firstLine="249"/>
        <w:spacing w:after="0" w:line="241" w:lineRule="auto"/>
        <w:rPr>
          <w:sz w:val="20"/>
          <w:szCs w:val="20"/>
          <w:color w:val="auto"/>
        </w:rPr>
      </w:pPr>
      <w:r>
        <w:rPr>
          <w:rFonts w:ascii="Arial" w:cs="Arial" w:eastAsia="Arial" w:hAnsi="Arial"/>
          <w:sz w:val="14"/>
          <w:szCs w:val="14"/>
          <w:color w:val="auto"/>
        </w:rPr>
        <w:t>In addition, 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6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 w:name="page32"/>
    <w:bookmarkEnd w:id="3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1653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59225" cy="1653540"/>
                    </a:xfrm>
                    <a:prstGeom prst="rect">
                      <a:avLst/>
                    </a:prstGeom>
                    <a:noFill/>
                  </pic:spPr>
                </pic:pic>
              </a:graphicData>
            </a:graphic>
          </wp:anchor>
        </w:drawing>
      </w:r>
    </w:p>
    <w:p>
      <w:pPr>
        <w:spacing w:after="0" w:line="28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IMPLICATIONS OF BEING A CONTROLLED COMPANY</w:t>
      </w:r>
    </w:p>
    <w:p>
      <w:pPr>
        <w:spacing w:after="0" w:line="109" w:lineRule="exact"/>
        <w:rPr>
          <w:sz w:val="20"/>
          <w:szCs w:val="20"/>
          <w:color w:val="auto"/>
        </w:rPr>
      </w:pPr>
    </w:p>
    <w:p>
      <w:pPr>
        <w:jc w:val="both"/>
        <w:ind w:left="1480" w:right="1458" w:firstLine="249"/>
        <w:spacing w:after="0" w:line="235" w:lineRule="auto"/>
        <w:rPr>
          <w:sz w:val="20"/>
          <w:szCs w:val="20"/>
          <w:color w:val="auto"/>
        </w:rPr>
      </w:pPr>
      <w:r>
        <w:rPr>
          <w:rFonts w:ascii="Arial" w:cs="Arial" w:eastAsia="Arial" w:hAnsi="Arial"/>
          <w:sz w:val="14"/>
          <w:szCs w:val="14"/>
          <w:color w:val="auto"/>
        </w:rPr>
        <w:t>Immediately following the completion of this offering, our issued and outstanding share capital will consist of Class A ordinary shares and Class B ordinary shares. Mr. Junhong Yao, our founder, director and chief executive officer, will beneficially own 93,435,380 Class A ordinary shares and 331,292,603 Class B ordinary shares, representing 85.4% of the total voting power of our outstanding ordinary shares, assuming that the underwriters do not exercise their option to purchase additional ADSs, or 85.2% of the total voting power of our outstanding ordinary shares, assuming that the option to purchase additional ADSs is exercised by the underwriters in full. As a result, we will become a “controlled company” as defined under the Nasdaq Stock Market Rules following the completion of this offering. As a “controlled company,” we are permitted to elect not to comply with certain corporate governance requirements. If we rely on these exemptions, you will not have the same protection afforded to shareholders of companies that are subject to these corporate governance requirements.</w:t>
      </w:r>
    </w:p>
    <w:p>
      <w:pPr>
        <w:spacing w:after="0" w:line="25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 w:name="page33"/>
    <w:bookmarkEnd w:id="3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685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59225" cy="5685790"/>
                    </a:xfrm>
                    <a:prstGeom prst="rect">
                      <a:avLst/>
                    </a:prstGeom>
                    <a:noFill/>
                  </pic:spPr>
                </pic:pic>
              </a:graphicData>
            </a:graphic>
          </wp:anchor>
        </w:drawing>
      </w:r>
    </w:p>
    <w:p>
      <w:pPr>
        <w:spacing w:after="0" w:line="286"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CONVENTIONS WHICH APPLY TO THIS PROSPECTUS</w:t>
      </w:r>
    </w:p>
    <w:p>
      <w:pPr>
        <w:spacing w:after="0" w:line="10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Except where the context otherwise requires and for purposes of this prospectus only:</w:t>
      </w:r>
    </w:p>
    <w:p>
      <w:pPr>
        <w:spacing w:after="0" w:line="98" w:lineRule="exact"/>
        <w:rPr>
          <w:sz w:val="20"/>
          <w:szCs w:val="20"/>
          <w:color w:val="auto"/>
        </w:rPr>
      </w:pPr>
    </w:p>
    <w:p>
      <w:pPr>
        <w:jc w:val="both"/>
        <w:ind w:left="1860" w:right="1458" w:hanging="130"/>
        <w:spacing w:after="0" w:line="239"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 xml:space="preserve">“Active users” for a given period refers to auto merchants who accessed our digitalization platforms, namely,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used car dealers and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for new car brokers, at least once during that period; an “active user” may be one of the “monetized dealers and brokers,” i.e., used car dealers and new car brokers from whom we generate revenues either directly from fees received from them or indirectly from their collaborators, or may be one who accesses our digitalization platforms without contributing to our revenues;</w:t>
      </w:r>
    </w:p>
    <w:p>
      <w:pPr>
        <w:spacing w:after="0" w:line="86"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“ADSs” refers to the American depositary shares, each representing 20 Class A ordinary shares;</w:t>
      </w:r>
    </w:p>
    <w:p>
      <w:pPr>
        <w:spacing w:after="0" w:line="61"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“authorized dealers” refers to dealerships who have contractual rights to exclusively distribute automobiles for particular OEMs within specific regions who typically provide Sales, Service, Spare parts, and Survey (4S) support for their vehicles;</w:t>
      </w:r>
    </w:p>
    <w:p>
      <w:pPr>
        <w:spacing w:after="0" w:line="65" w:lineRule="exact"/>
        <w:rPr>
          <w:rFonts w:ascii="Arial" w:cs="Arial" w:eastAsia="Arial" w:hAnsi="Arial"/>
          <w:sz w:val="11"/>
          <w:szCs w:val="11"/>
          <w:color w:val="auto"/>
        </w:rPr>
      </w:pPr>
    </w:p>
    <w:p>
      <w:pPr>
        <w:jc w:val="both"/>
        <w:ind w:left="1860" w:right="1458" w:hanging="130"/>
        <w:spacing w:after="0" w:line="253" w:lineRule="auto"/>
        <w:tabs>
          <w:tab w:leader="none" w:pos="1864" w:val="left"/>
        </w:tabs>
        <w:numPr>
          <w:ilvl w:val="0"/>
          <w:numId w:val="19"/>
        </w:numPr>
        <w:rPr>
          <w:rFonts w:ascii="Arial" w:cs="Arial" w:eastAsia="Arial" w:hAnsi="Arial"/>
          <w:sz w:val="10"/>
          <w:szCs w:val="10"/>
          <w:color w:val="auto"/>
        </w:rPr>
      </w:pPr>
      <w:r>
        <w:rPr>
          <w:rFonts w:ascii="Arial" w:cs="Arial" w:eastAsia="Arial" w:hAnsi="Arial"/>
          <w:sz w:val="13"/>
          <w:szCs w:val="13"/>
          <w:color w:val="auto"/>
        </w:rPr>
        <w:t>“ARPU” or “Average Revenue Per User” for a given period is calculated by the total revenue generated from monetized dealers and brokers, and their collaborators divided by the total number of such dealers and brokers for that period; revenues used to calculate ARPU include the revenues generated from digitalization solutions and transaction services to dealers and brokers and, however, do not include revenues from OEMs and certain other types of customers, mostly auto trading companies and financial institutions that use our warehousing services; we believe that ARPU is most effective in scenarios where a company has a large number of users or customers (generally in thousands or more) each contributing a relatively small amount to the overall revenue, on a recurring basis. In such contexts, ARPU represents a relatively informative average. Consequently, we use ARPU to measure our average revenue generated per monetized dealer and broker over a specific period as such dealers and brokers are large in number, and their individual revenue contributions are relatively small and typically recurring. In contrast, OEMs and the above-mentioned other customers are generally limited in number but significant in terms of transaction volume and value. Specifically, the potential customer pool for our services provided to OEMs business is made up of approximately 100 OEM brands as of the date of this prospectus, and the amounts of contracts with OEMs typically range from RMB500,000 to RMB100 million and are project-based, rendering ARPU of our OEM customers a less helpful metric;</w:t>
      </w:r>
    </w:p>
    <w:p>
      <w:pPr>
        <w:spacing w:after="0" w:line="236" w:lineRule="exact"/>
        <w:rPr>
          <w:rFonts w:ascii="Arial" w:cs="Arial" w:eastAsia="Arial" w:hAnsi="Arial"/>
          <w:sz w:val="10"/>
          <w:szCs w:val="10"/>
          <w:color w:val="auto"/>
        </w:rPr>
      </w:pPr>
    </w:p>
    <w:p>
      <w:pPr>
        <w:ind w:left="1860" w:right="1458" w:hanging="130"/>
        <w:spacing w:after="0" w:line="27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“Auto commerce” refers to the activities of buying and selling of new and used vehicles as well as various transaction services facilitating the buying and selling of vehicles;</w:t>
      </w:r>
    </w:p>
    <w:p>
      <w:pPr>
        <w:spacing w:after="0" w:line="61" w:lineRule="exact"/>
        <w:rPr>
          <w:rFonts w:ascii="Arial" w:cs="Arial" w:eastAsia="Arial" w:hAnsi="Arial"/>
          <w:sz w:val="11"/>
          <w:szCs w:val="11"/>
          <w:color w:val="auto"/>
        </w:rPr>
      </w:pPr>
    </w:p>
    <w:p>
      <w:pPr>
        <w:jc w:val="both"/>
        <w:ind w:left="1860" w:right="1458" w:hanging="130"/>
        <w:spacing w:after="0" w:line="245"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“Auto merchants” refers to the individuals or entities engaging in the buying and selling of vehicles; in the used car space, they primarily include used car dealers and authorized dealers, and in the new car space, they primarily include OEMs, authorized dealers and new car brokers;</w:t>
      </w:r>
    </w:p>
    <w:p>
      <w:pPr>
        <w:spacing w:after="0" w:line="68"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“Beijing Peak” refers to Beijing Peak Technology Co., Ltd, a PRC-incorporated company and one of the two VIEs;</w:t>
      </w:r>
    </w:p>
    <w:p>
      <w:pPr>
        <w:spacing w:after="0" w:line="61"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“Disposition” refers to our disposal of all of our equity interests in the PRC entities operating the financial product referral services in November 2024, which was closed in December 2024;</w:t>
      </w:r>
    </w:p>
    <w:p>
      <w:pPr>
        <w:spacing w:after="0" w:line="75"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19"/>
        </w:numPr>
        <w:rPr>
          <w:rFonts w:ascii="Arial" w:cs="Arial" w:eastAsia="Arial" w:hAnsi="Arial"/>
          <w:sz w:val="11"/>
          <w:szCs w:val="11"/>
          <w:color w:val="auto"/>
        </w:rPr>
      </w:pPr>
      <w:r>
        <w:rPr>
          <w:rFonts w:ascii="Arial" w:cs="Arial" w:eastAsia="Arial" w:hAnsi="Arial"/>
          <w:sz w:val="14"/>
          <w:szCs w:val="14"/>
          <w:color w:val="auto"/>
        </w:rPr>
        <w:t>“DSC,” “we,” “us,” “our,” “ours,” “our company” and the “Company,” refer to DSC Holdings Ltd., a Cayman Islands holding company, and its subsidiaries;</w:t>
      </w:r>
    </w:p>
    <w:p>
      <w:pPr>
        <w:spacing w:after="0" w:line="51" w:lineRule="exact"/>
        <w:rPr>
          <w:rFonts w:ascii="Arial" w:cs="Arial" w:eastAsia="Arial" w:hAnsi="Arial"/>
          <w:sz w:val="11"/>
          <w:szCs w:val="11"/>
          <w:color w:val="auto"/>
        </w:rPr>
      </w:pPr>
    </w:p>
    <w:p>
      <w:pPr>
        <w:ind w:left="1880" w:hanging="150"/>
        <w:spacing w:after="0"/>
        <w:tabs>
          <w:tab w:leader="none" w:pos="1880" w:val="left"/>
        </w:tabs>
        <w:numPr>
          <w:ilvl w:val="0"/>
          <w:numId w:val="19"/>
        </w:numPr>
        <w:rPr>
          <w:rFonts w:ascii="Arial" w:cs="Arial" w:eastAsia="Arial" w:hAnsi="Arial"/>
          <w:sz w:val="11"/>
          <w:szCs w:val="11"/>
          <w:color w:val="auto"/>
        </w:rPr>
      </w:pPr>
      <w:r>
        <w:rPr>
          <w:rFonts w:ascii="Arial" w:cs="Arial" w:eastAsia="Arial" w:hAnsi="Arial"/>
          <w:sz w:val="14"/>
          <w:szCs w:val="14"/>
          <w:color w:val="auto"/>
        </w:rPr>
        <w:t>“Car parc” refers to the total number of passenger vehicles in a region or market;</w:t>
      </w:r>
    </w:p>
    <w:p>
      <w:pPr>
        <w:spacing w:after="0" w:line="108" w:lineRule="exact"/>
        <w:rPr>
          <w:rFonts w:ascii="Arial" w:cs="Arial" w:eastAsia="Arial" w:hAnsi="Arial"/>
          <w:sz w:val="11"/>
          <w:szCs w:val="11"/>
          <w:color w:val="auto"/>
        </w:rPr>
      </w:pPr>
    </w:p>
    <w:p>
      <w:pPr>
        <w:ind w:left="1860" w:hanging="130"/>
        <w:spacing w:after="0"/>
        <w:tabs>
          <w:tab w:leader="none" w:pos="1860" w:val="left"/>
        </w:tabs>
        <w:numPr>
          <w:ilvl w:val="0"/>
          <w:numId w:val="19"/>
        </w:numPr>
        <w:rPr>
          <w:rFonts w:ascii="Arial" w:cs="Arial" w:eastAsia="Arial" w:hAnsi="Arial"/>
          <w:sz w:val="11"/>
          <w:szCs w:val="11"/>
          <w:color w:val="auto"/>
        </w:rPr>
      </w:pPr>
      <w:r>
        <w:rPr>
          <w:rFonts w:ascii="Arial" w:cs="Arial" w:eastAsia="Arial" w:hAnsi="Arial"/>
          <w:sz w:val="14"/>
          <w:szCs w:val="14"/>
          <w:color w:val="auto"/>
        </w:rPr>
        <w:t>“CAC” refers to the Cyberspace Administration of China;</w:t>
      </w:r>
    </w:p>
    <w:p>
      <w:pPr>
        <w:spacing w:after="0" w:line="2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 w:name="page34"/>
    <w:bookmarkEnd w:id="3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600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59225" cy="5600065"/>
                    </a:xfrm>
                    <a:prstGeom prst="rect">
                      <a:avLst/>
                    </a:prstGeom>
                    <a:noFill/>
                  </pic:spPr>
                </pic:pic>
              </a:graphicData>
            </a:graphic>
          </wp:anchor>
        </w:drawing>
      </w:r>
    </w:p>
    <w:p>
      <w:pPr>
        <w:spacing w:after="0" w:line="234" w:lineRule="exact"/>
        <w:rPr>
          <w:sz w:val="20"/>
          <w:szCs w:val="20"/>
          <w:color w:val="auto"/>
        </w:rPr>
      </w:pPr>
    </w:p>
    <w:p>
      <w:pPr>
        <w:ind w:left="1860" w:hanging="130"/>
        <w:spacing w:after="0"/>
        <w:tabs>
          <w:tab w:leader="none" w:pos="1860" w:val="left"/>
        </w:tabs>
        <w:numPr>
          <w:ilvl w:val="0"/>
          <w:numId w:val="20"/>
        </w:numPr>
        <w:rPr>
          <w:rFonts w:ascii="Arial" w:cs="Arial" w:eastAsia="Arial" w:hAnsi="Arial"/>
          <w:sz w:val="10"/>
          <w:szCs w:val="10"/>
          <w:color w:val="auto"/>
        </w:rPr>
      </w:pPr>
      <w:r>
        <w:rPr>
          <w:rFonts w:ascii="Arial" w:cs="Arial" w:eastAsia="Arial" w:hAnsi="Arial"/>
          <w:sz w:val="13"/>
          <w:szCs w:val="13"/>
          <w:color w:val="auto"/>
        </w:rPr>
        <w:t>“China” or “PRC,” unless otherwise specified herein, refers to the People’s Republic of China;</w:t>
      </w:r>
    </w:p>
    <w:p>
      <w:pPr>
        <w:spacing w:after="0" w:line="109" w:lineRule="exact"/>
        <w:rPr>
          <w:rFonts w:ascii="Arial" w:cs="Arial" w:eastAsia="Arial" w:hAnsi="Arial"/>
          <w:sz w:val="10"/>
          <w:szCs w:val="10"/>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“Class A ordinary shares” refers to our Class A ordinary shares with a par value of US$0.0001 per share;</w:t>
      </w:r>
    </w:p>
    <w:p>
      <w:pPr>
        <w:spacing w:after="0" w:line="61"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“Class B ordinary shares” refers to our Class B ordinary shares with a par value of US$0.0001 per share;</w:t>
      </w:r>
    </w:p>
    <w:p>
      <w:pPr>
        <w:spacing w:after="0" w:line="61"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“EV” refers to electric vehicle;</w:t>
      </w:r>
    </w:p>
    <w:p>
      <w:pPr>
        <w:spacing w:after="0" w:line="88"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“GDP” refers to gross domestic product;</w:t>
      </w:r>
    </w:p>
    <w:p>
      <w:pPr>
        <w:spacing w:after="0" w:line="88"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“Hangzhou Souche” refers to Hangzhou Souche Network Technology Co., Ltd., a PRC-incorporated company and one of the two VIEs;</w:t>
      </w:r>
    </w:p>
    <w:p>
      <w:pPr>
        <w:spacing w:after="0" w:line="51"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“ICE” refers to internal combustion engine;</w:t>
      </w:r>
    </w:p>
    <w:p>
      <w:pPr>
        <w:spacing w:after="0" w:line="88"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“MAUs” is measured by the number of unique mobile devices that have accessed our platform at least once during a month, except that if a user uses multiple mobile devices to access our platform during a given month, they will be counted as only one MAU;</w:t>
      </w:r>
    </w:p>
    <w:p>
      <w:pPr>
        <w:spacing w:after="0" w:line="55"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“Monetized dealers and brokers” refers to used car dealers and new car brokers from whom we generate revenues either directly from fees received from them or indirectly from their collaborators, such as financial institutions who use our financial product referral service;</w:t>
      </w:r>
    </w:p>
    <w:p>
      <w:pPr>
        <w:spacing w:after="0" w:line="65"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“New car brokers” refers to auto merchants who facilitate authorized dealers in selling new cars to end consumers;</w:t>
      </w:r>
    </w:p>
    <w:p>
      <w:pPr>
        <w:spacing w:after="0" w:line="41"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“OEMs” or “Original Equipment Manufacturers,” in the context of auto commerce, refer to automobile manufacturers;</w:t>
      </w:r>
    </w:p>
    <w:p>
      <w:pPr>
        <w:spacing w:after="0" w:line="30" w:lineRule="exact"/>
        <w:rPr>
          <w:rFonts w:ascii="Arial" w:cs="Arial" w:eastAsia="Arial" w:hAnsi="Arial"/>
          <w:sz w:val="11"/>
          <w:szCs w:val="11"/>
          <w:color w:val="auto"/>
        </w:rPr>
      </w:pPr>
    </w:p>
    <w:p>
      <w:pPr>
        <w:ind w:left="1860" w:right="1458" w:hanging="130"/>
        <w:spacing w:after="0" w:line="310" w:lineRule="auto"/>
        <w:tabs>
          <w:tab w:leader="none" w:pos="1864" w:val="left"/>
        </w:tabs>
        <w:numPr>
          <w:ilvl w:val="0"/>
          <w:numId w:val="20"/>
        </w:numPr>
        <w:rPr>
          <w:rFonts w:ascii="Arial" w:cs="Arial" w:eastAsia="Arial" w:hAnsi="Arial"/>
          <w:sz w:val="10"/>
          <w:szCs w:val="10"/>
          <w:color w:val="auto"/>
        </w:rPr>
      </w:pPr>
      <w:r>
        <w:rPr>
          <w:rFonts w:ascii="Arial" w:cs="Arial" w:eastAsia="Arial" w:hAnsi="Arial"/>
          <w:sz w:val="13"/>
          <w:szCs w:val="13"/>
          <w:color w:val="auto"/>
        </w:rPr>
        <w:t>“Ordinary shares” refers to our ordinary shares, par value of US$0.0001 per share, and upon the completion of this offering, to our Class A ordinary shares and Class B ordinary shares;</w:t>
      </w:r>
    </w:p>
    <w:p>
      <w:pPr>
        <w:spacing w:after="0" w:line="8" w:lineRule="exact"/>
        <w:rPr>
          <w:rFonts w:ascii="Arial" w:cs="Arial" w:eastAsia="Arial" w:hAnsi="Arial"/>
          <w:sz w:val="10"/>
          <w:szCs w:val="10"/>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“Predecessor Entities” refers to Souche Holdings Ltd and its affiliates;</w:t>
      </w:r>
    </w:p>
    <w:p>
      <w:pPr>
        <w:spacing w:after="0" w:line="77"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“RMB” or “Renminbi” refers to the legal currency of the People’s Republic of China;</w:t>
      </w:r>
    </w:p>
    <w:p>
      <w:pPr>
        <w:spacing w:after="0" w:line="77"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“SME” refers to small and micro enterprise;</w:t>
      </w:r>
    </w:p>
    <w:p>
      <w:pPr>
        <w:spacing w:after="0" w:line="77"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“Subscribing new car brokers” for a given period refers to new car brokers who subscribed for our digitalization solutions at least once during that period;</w:t>
      </w:r>
    </w:p>
    <w:p>
      <w:pPr>
        <w:spacing w:after="0" w:line="30"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“Subscribing used car dealers” for a given period refers to used car dealers who subscribed for our digitalization solutions at least once during that period;</w:t>
      </w:r>
    </w:p>
    <w:p>
      <w:pPr>
        <w:spacing w:after="0" w:line="30"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“Used car dealers” refers to individuals who engage in the business of buying and selling used cars;</w:t>
      </w:r>
    </w:p>
    <w:p>
      <w:pPr>
        <w:spacing w:after="0" w:line="30" w:lineRule="exact"/>
        <w:rPr>
          <w:rFonts w:ascii="Arial" w:cs="Arial" w:eastAsia="Arial" w:hAnsi="Arial"/>
          <w:sz w:val="11"/>
          <w:szCs w:val="11"/>
          <w:color w:val="auto"/>
        </w:rPr>
      </w:pPr>
    </w:p>
    <w:p>
      <w:pPr>
        <w:ind w:left="1880" w:hanging="150"/>
        <w:spacing w:after="0"/>
        <w:tabs>
          <w:tab w:leader="none" w:pos="1880" w:val="left"/>
        </w:tabs>
        <w:numPr>
          <w:ilvl w:val="0"/>
          <w:numId w:val="20"/>
        </w:numPr>
        <w:rPr>
          <w:rFonts w:ascii="Arial" w:cs="Arial" w:eastAsia="Arial" w:hAnsi="Arial"/>
          <w:sz w:val="11"/>
          <w:szCs w:val="11"/>
          <w:color w:val="auto"/>
        </w:rPr>
      </w:pPr>
      <w:r>
        <w:rPr>
          <w:rFonts w:ascii="Arial" w:cs="Arial" w:eastAsia="Arial" w:hAnsi="Arial"/>
          <w:sz w:val="14"/>
          <w:szCs w:val="14"/>
          <w:color w:val="auto"/>
        </w:rPr>
        <w:t>“US$,” “dollars” or “U.S. dollars” refers to the legal currency of the United States;</w:t>
      </w:r>
    </w:p>
    <w:p>
      <w:pPr>
        <w:spacing w:after="0" w:line="88"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0"/>
        </w:numPr>
        <w:rPr>
          <w:rFonts w:ascii="Arial" w:cs="Arial" w:eastAsia="Arial" w:hAnsi="Arial"/>
          <w:sz w:val="11"/>
          <w:szCs w:val="11"/>
          <w:color w:val="auto"/>
        </w:rPr>
      </w:pPr>
      <w:r>
        <w:rPr>
          <w:rFonts w:ascii="Arial" w:cs="Arial" w:eastAsia="Arial" w:hAnsi="Arial"/>
          <w:sz w:val="14"/>
          <w:szCs w:val="14"/>
          <w:color w:val="auto"/>
        </w:rPr>
        <w:t>“U.S. GAAP” refers to the accounting principles generally accepted in the United States of America; and</w:t>
      </w:r>
    </w:p>
    <w:p>
      <w:pPr>
        <w:spacing w:after="0" w:line="51" w:lineRule="exact"/>
        <w:rPr>
          <w:rFonts w:ascii="Arial" w:cs="Arial" w:eastAsia="Arial" w:hAnsi="Arial"/>
          <w:sz w:val="11"/>
          <w:szCs w:val="11"/>
          <w:color w:val="auto"/>
        </w:rPr>
      </w:pPr>
    </w:p>
    <w:p>
      <w:pPr>
        <w:jc w:val="both"/>
        <w:ind w:left="1860" w:right="1458" w:hanging="130"/>
        <w:spacing w:after="0" w:line="258" w:lineRule="auto"/>
        <w:tabs>
          <w:tab w:leader="none" w:pos="1844" w:val="left"/>
        </w:tabs>
        <w:numPr>
          <w:ilvl w:val="0"/>
          <w:numId w:val="20"/>
        </w:numPr>
        <w:rPr>
          <w:rFonts w:ascii="Arial" w:cs="Arial" w:eastAsia="Arial" w:hAnsi="Arial"/>
          <w:sz w:val="10"/>
          <w:szCs w:val="10"/>
          <w:color w:val="auto"/>
        </w:rPr>
      </w:pPr>
      <w:r>
        <w:rPr>
          <w:rFonts w:ascii="Arial" w:cs="Arial" w:eastAsia="Arial" w:hAnsi="Arial"/>
          <w:sz w:val="13"/>
          <w:szCs w:val="13"/>
          <w:color w:val="auto"/>
        </w:rPr>
        <w:t>The term “variable interest entities,” or “VIEs,” refers to entities in the PRC over which we can direct the activities that most significantly impact their economic performance through certain contractual arrangements; additionally, we have the right to recognize and receive almost all of the economic benefits of these entities, and we hold an exclusive option to purchase all or part of their equity interests at the minimum price permitted by PRC laws. As a result, we are considered the primary beneficiary of these entities for accounting purposes, and under U.S. GAAP, we are able to combine their operating results in our financial statements, to the extent the conditions for combination of the VIEs under the U.S. GAAP are met.</w:t>
      </w:r>
    </w:p>
    <w:p>
      <w:pPr>
        <w:spacing w:after="0" w:line="24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 w:name="page35"/>
    <w:bookmarkEnd w:id="3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1896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59225" cy="1896745"/>
                    </a:xfrm>
                    <a:prstGeom prst="rect">
                      <a:avLst/>
                    </a:prstGeom>
                    <a:noFill/>
                  </pic:spPr>
                </pic:pic>
              </a:graphicData>
            </a:graphic>
          </wp:anchor>
        </w:drawing>
      </w:r>
    </w:p>
    <w:p>
      <w:pPr>
        <w:spacing w:after="0" w:line="213"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color w:val="auto"/>
        </w:rPr>
        <w:t>Unless otherwise noted, all translations from Renminbi to U.S. dollars and from U.S. dollars to Renminbi in this prospectus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the rates stated below or at all.</w:t>
      </w:r>
    </w:p>
    <w:p>
      <w:pPr>
        <w:spacing w:after="0" w:line="76"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This prospectus contains information derived from various public sources and certain information from an industry report issued in May 2026 which was commissioned by us in connection with this offering and prepared by China Insights Industry Consultancy Limited (“CIC”), a third-party industry research firm, to provide information regarding our industry and market position in China.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“Risk Factors” section. These and other factors could cause results to differ materially from those expressed in these publications and reports.</w:t>
      </w:r>
    </w:p>
    <w:p>
      <w:pPr>
        <w:spacing w:after="0" w:line="25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5" w:name="page36"/>
    <w:bookmarkEnd w:id="35"/>
    <w:p>
      <w:pPr>
        <w:ind w:left="1420"/>
        <w:spacing w:after="0"/>
        <w:rPr>
          <w:sz w:val="20"/>
          <w:szCs w:val="20"/>
          <w:color w:val="auto"/>
        </w:rPr>
      </w:pPr>
      <w:r>
        <w:rPr>
          <w:rFonts w:ascii="Arial" w:cs="Arial" w:eastAsia="Arial" w:hAnsi="Arial"/>
          <w:sz w:val="14"/>
          <w:szCs w:val="14"/>
          <w:color w:val="0000EE"/>
        </w:rPr>
        <w:t>Table of Contents</w:t>
      </w:r>
    </w:p>
    <w:tbl>
      <w:tblPr>
        <w:tblLayout w:type="fixed"/>
        <w:tblInd w:w="1430" w:type="dxa"/>
        <w:tblCellMar>
          <w:top w:w="0" w:type="dxa"/>
          <w:left w:w="0" w:type="dxa"/>
          <w:bottom w:w="0" w:type="dxa"/>
          <w:right w:w="0" w:type="dxa"/>
        </w:tblCellMar>
      </w:tblPr>
      <w:tr>
        <w:trPr>
          <w:trHeight w:val="487"/>
        </w:trPr>
        <w:tc>
          <w:tcPr>
            <w:tcW w:w="1780" w:type="dxa"/>
            <w:vAlign w:val="bottom"/>
            <w:tcBorders>
              <w:top w:val="single" w:sz="8" w:color="auto"/>
              <w:left w:val="single" w:sz="8" w:color="auto"/>
            </w:tcBorders>
          </w:tcPr>
          <w:p>
            <w:pPr>
              <w:spacing w:after="0"/>
              <w:rPr>
                <w:sz w:val="24"/>
                <w:szCs w:val="24"/>
                <w:color w:val="auto"/>
              </w:rPr>
            </w:pPr>
          </w:p>
        </w:tc>
        <w:tc>
          <w:tcPr>
            <w:tcW w:w="446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4"/>
                <w:szCs w:val="14"/>
                <w:b w:val="1"/>
                <w:bCs w:val="1"/>
                <w:color w:val="auto"/>
              </w:rPr>
              <w:t>THE OFFERING</w:t>
            </w:r>
          </w:p>
        </w:tc>
      </w:tr>
      <w:tr>
        <w:trPr>
          <w:trHeight w:val="285"/>
        </w:trPr>
        <w:tc>
          <w:tcPr>
            <w:tcW w:w="178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Offering price</w:t>
            </w: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US$17.0 per ADS.</w:t>
            </w:r>
          </w:p>
        </w:tc>
      </w:tr>
      <w:tr>
        <w:trPr>
          <w:trHeight w:val="300"/>
        </w:trPr>
        <w:tc>
          <w:tcPr>
            <w:tcW w:w="178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ADSs offered by us</w:t>
            </w: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3,000,000  ADSs  (or  3,450,000  ADSs  if  the  underwriters</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exercise their over-allotment option in full).</w:t>
            </w:r>
          </w:p>
        </w:tc>
      </w:tr>
      <w:tr>
        <w:trPr>
          <w:trHeight w:val="269"/>
        </w:trPr>
        <w:tc>
          <w:tcPr>
            <w:tcW w:w="178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The ADSs</w:t>
            </w: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Each ADS represents 20 Class A ordinary shares, par value</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US$0.0001 per share. The depositary will hold the Class A</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ordinary shares underlying the ADSs through its custodian.</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You will have rights as provided in the deposit agreement.</w:t>
            </w:r>
          </w:p>
        </w:tc>
      </w:tr>
      <w:tr>
        <w:trPr>
          <w:trHeight w:val="259"/>
        </w:trPr>
        <w:tc>
          <w:tcPr>
            <w:tcW w:w="178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We do not expect to pay dividends in the foreseeable future.</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If, however, we declare dividends on our Class A ordinary</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shares, the depositary will pay you the cash dividends and</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other distributions it receives on our Class A ordinary shares,</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after deducting its fees and expenses in accordance with the</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terms set forth in the deposit agreement.</w:t>
            </w:r>
          </w:p>
        </w:tc>
      </w:tr>
      <w:tr>
        <w:trPr>
          <w:trHeight w:val="269"/>
        </w:trPr>
        <w:tc>
          <w:tcPr>
            <w:tcW w:w="1780" w:type="dxa"/>
            <w:vAlign w:val="bottom"/>
            <w:tcBorders>
              <w:left w:val="single" w:sz="8" w:color="auto"/>
            </w:tcBorders>
          </w:tcPr>
          <w:p>
            <w:pPr>
              <w:spacing w:after="0"/>
              <w:rPr>
                <w:sz w:val="23"/>
                <w:szCs w:val="23"/>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You may surrender the ADSs to the depositary for cancelation</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to receive Class A ordinary shares. The depositary will charge</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you fees for any cancelation.</w:t>
            </w:r>
          </w:p>
        </w:tc>
      </w:tr>
      <w:tr>
        <w:trPr>
          <w:trHeight w:val="269"/>
        </w:trPr>
        <w:tc>
          <w:tcPr>
            <w:tcW w:w="1780" w:type="dxa"/>
            <w:vAlign w:val="bottom"/>
            <w:tcBorders>
              <w:left w:val="single" w:sz="8" w:color="auto"/>
            </w:tcBorders>
          </w:tcPr>
          <w:p>
            <w:pPr>
              <w:spacing w:after="0"/>
              <w:rPr>
                <w:sz w:val="23"/>
                <w:szCs w:val="23"/>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We may amend or terminate the deposit agreement without</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your consent. If you continue to hold the ADSs after an</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amendment to the deposit agreement, you agree to be bound</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by the deposit agreement as amended.</w:t>
            </w:r>
          </w:p>
        </w:tc>
      </w:tr>
      <w:tr>
        <w:trPr>
          <w:trHeight w:val="259"/>
        </w:trPr>
        <w:tc>
          <w:tcPr>
            <w:tcW w:w="178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To better understand the terms of the ADSs, you should</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w w:val="99"/>
              </w:rPr>
              <w:t>carefully read the “Description of American Depositary Shares”</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section of this prospectus. You should also read the deposit</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agreement, which is filed as an exhibit to the registration</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statement that includes this prospectus.</w:t>
            </w:r>
          </w:p>
        </w:tc>
      </w:tr>
      <w:tr>
        <w:trPr>
          <w:trHeight w:val="269"/>
        </w:trPr>
        <w:tc>
          <w:tcPr>
            <w:tcW w:w="178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Ordinary shares</w:t>
            </w: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We will issue 60,000,000 Class A ordinary shares represented</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by the ADSs in this offering.</w:t>
            </w:r>
          </w:p>
        </w:tc>
      </w:tr>
      <w:tr>
        <w:trPr>
          <w:trHeight w:val="269"/>
        </w:trPr>
        <w:tc>
          <w:tcPr>
            <w:tcW w:w="1780" w:type="dxa"/>
            <w:vAlign w:val="bottom"/>
            <w:tcBorders>
              <w:left w:val="single" w:sz="8" w:color="auto"/>
            </w:tcBorders>
          </w:tcPr>
          <w:p>
            <w:pPr>
              <w:spacing w:after="0"/>
              <w:rPr>
                <w:sz w:val="23"/>
                <w:szCs w:val="23"/>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Following the completion of this offering, our issued and</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outstanding share capital will consist of Class A ordinary</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shares and Class B ordinary shares. Holders of Class A</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ordinary shares and Class B ordinary shares have the same</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rights except for voting and conversion rights. Each Class A</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ordinary share is entitled to one vote, and each Class B</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ordinary share is entitled to 10 votes and is convertible into</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one Class A ordinary share. Class A ordinary shares are not</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convertible  into  Class  B  ordinary  shares  under  any</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circumstances.  Upon  any  sale,  transfer,  assignment  or</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disposition of any Class B ordinary shares by a holder thereof</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to any person who is not an affiliate thereof, or upon a change</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of ultimate beneficial ownership of any class B ordinary share</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to a person who is not an affiliate thereof, each of such</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Class B ordinary shares will be automatically and immediately</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converted into one Class A ordinary share.</w:t>
            </w:r>
          </w:p>
        </w:tc>
      </w:tr>
      <w:tr>
        <w:trPr>
          <w:trHeight w:val="259"/>
        </w:trPr>
        <w:tc>
          <w:tcPr>
            <w:tcW w:w="1780" w:type="dxa"/>
            <w:vAlign w:val="bottom"/>
            <w:tcBorders>
              <w:left w:val="single" w:sz="8" w:color="auto"/>
            </w:tcBorders>
          </w:tcPr>
          <w:p>
            <w:pPr>
              <w:spacing w:after="0"/>
              <w:rPr>
                <w:sz w:val="22"/>
                <w:szCs w:val="22"/>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All of our outstanding share options, regardless of grant dates,</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will  entitle  holders  to  the  equivalent  number  of  Class A</w:t>
            </w:r>
          </w:p>
        </w:tc>
      </w:tr>
      <w:tr>
        <w:trPr>
          <w:trHeight w:val="156"/>
        </w:trPr>
        <w:tc>
          <w:tcPr>
            <w:tcW w:w="1780" w:type="dxa"/>
            <w:vAlign w:val="bottom"/>
            <w:tcBorders>
              <w:left w:val="single" w:sz="8" w:color="auto"/>
            </w:tcBorders>
          </w:tcPr>
          <w:p>
            <w:pPr>
              <w:spacing w:after="0"/>
              <w:rPr>
                <w:sz w:val="13"/>
                <w:szCs w:val="13"/>
                <w:color w:val="auto"/>
              </w:rPr>
            </w:pPr>
          </w:p>
        </w:tc>
        <w:tc>
          <w:tcPr>
            <w:tcW w:w="4460" w:type="dxa"/>
            <w:vAlign w:val="bottom"/>
            <w:tcBorders>
              <w:right w:val="single" w:sz="8" w:color="auto"/>
            </w:tcBorders>
          </w:tcPr>
          <w:p>
            <w:pPr>
              <w:ind w:left="540"/>
              <w:spacing w:after="0" w:line="156" w:lineRule="exact"/>
              <w:rPr>
                <w:sz w:val="20"/>
                <w:szCs w:val="20"/>
                <w:color w:val="auto"/>
              </w:rPr>
            </w:pPr>
            <w:r>
              <w:rPr>
                <w:rFonts w:ascii="Arial" w:cs="Arial" w:eastAsia="Arial" w:hAnsi="Arial"/>
                <w:sz w:val="14"/>
                <w:szCs w:val="14"/>
                <w:color w:val="auto"/>
              </w:rPr>
              <w:t>ordinary shares once the vesting and exercising conditions on</w:t>
            </w:r>
          </w:p>
        </w:tc>
      </w:tr>
      <w:tr>
        <w:trPr>
          <w:trHeight w:val="187"/>
        </w:trPr>
        <w:tc>
          <w:tcPr>
            <w:tcW w:w="1780" w:type="dxa"/>
            <w:vAlign w:val="bottom"/>
            <w:tcBorders>
              <w:left w:val="single" w:sz="8" w:color="auto"/>
            </w:tcBorders>
          </w:tcPr>
          <w:p>
            <w:pPr>
              <w:spacing w:after="0"/>
              <w:rPr>
                <w:sz w:val="16"/>
                <w:szCs w:val="16"/>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such share-based awards are met.</w:t>
            </w:r>
          </w:p>
        </w:tc>
      </w:tr>
      <w:tr>
        <w:trPr>
          <w:trHeight w:val="301"/>
        </w:trPr>
        <w:tc>
          <w:tcPr>
            <w:tcW w:w="1780" w:type="dxa"/>
            <w:vAlign w:val="bottom"/>
            <w:tcBorders>
              <w:left w:val="single" w:sz="8" w:color="auto"/>
            </w:tcBorders>
          </w:tcPr>
          <w:p>
            <w:pPr>
              <w:spacing w:after="0"/>
              <w:rPr>
                <w:sz w:val="24"/>
                <w:szCs w:val="24"/>
                <w:color w:val="auto"/>
              </w:rPr>
            </w:pPr>
          </w:p>
        </w:tc>
        <w:tc>
          <w:tcPr>
            <w:tcW w:w="446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See “Description of Share Capital.”</w:t>
            </w:r>
          </w:p>
        </w:tc>
      </w:tr>
      <w:tr>
        <w:trPr>
          <w:trHeight w:val="294"/>
        </w:trPr>
        <w:tc>
          <w:tcPr>
            <w:tcW w:w="1780" w:type="dxa"/>
            <w:vAlign w:val="bottom"/>
            <w:tcBorders>
              <w:left w:val="single" w:sz="8" w:color="auto"/>
              <w:bottom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spacing w:after="0"/>
              <w:rPr>
                <w:sz w:val="24"/>
                <w:szCs w:val="24"/>
                <w:color w:val="auto"/>
              </w:rPr>
            </w:pPr>
          </w:p>
        </w:tc>
      </w:tr>
      <w:tr>
        <w:trPr>
          <w:trHeight w:val="286"/>
        </w:trPr>
        <w:tc>
          <w:tcPr>
            <w:tcW w:w="17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27</w:t>
            </w:r>
          </w:p>
        </w:tc>
      </w:tr>
    </w:tbl>
    <w:p>
      <w:pPr>
        <w:sectPr>
          <w:pgSz w:w="11920" w:h="16838" w:orient="portrait"/>
          <w:cols w:equalWidth="0" w:num="1">
            <w:col w:w="9038"/>
          </w:cols>
          <w:pgMar w:left="1440" w:top="223" w:right="1440" w:bottom="1440" w:gutter="0" w:footer="0" w:header="0"/>
        </w:sectPr>
      </w:pPr>
    </w:p>
    <w:bookmarkStart w:id="36" w:name="page37"/>
    <w:bookmarkEnd w:id="36"/>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12700</wp:posOffset>
            </wp:positionV>
            <wp:extent cx="3959225" cy="56654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59225" cy="566547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p>
      <w:pPr>
        <w:spacing w:after="0" w:line="286" w:lineRule="exact"/>
        <w:rPr>
          <w:sz w:val="20"/>
          <w:szCs w:val="20"/>
          <w:color w:val="auto"/>
        </w:rPr>
      </w:pPr>
    </w:p>
    <w:p>
      <w:pPr>
        <w:ind w:left="1620" w:hanging="137"/>
        <w:spacing w:after="0" w:line="251" w:lineRule="auto"/>
        <w:rPr>
          <w:sz w:val="20"/>
          <w:szCs w:val="20"/>
          <w:color w:val="auto"/>
        </w:rPr>
      </w:pPr>
      <w:r>
        <w:rPr>
          <w:rFonts w:ascii="Arial" w:cs="Arial" w:eastAsia="Arial" w:hAnsi="Arial"/>
          <w:sz w:val="14"/>
          <w:szCs w:val="14"/>
          <w:color w:val="auto"/>
        </w:rPr>
        <w:t>Ordinary shares issued and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Indication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Listing</w:t>
      </w:r>
    </w:p>
    <w:p>
      <w:pPr>
        <w:spacing w:after="0" w:line="200" w:lineRule="exact"/>
        <w:rPr>
          <w:sz w:val="20"/>
          <w:szCs w:val="20"/>
          <w:color w:val="auto"/>
        </w:rPr>
      </w:pP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both"/>
        <w:ind w:right="1458"/>
        <w:spacing w:after="0" w:line="241" w:lineRule="auto"/>
        <w:rPr>
          <w:sz w:val="20"/>
          <w:szCs w:val="20"/>
          <w:color w:val="auto"/>
        </w:rPr>
      </w:pPr>
      <w:r>
        <w:rPr>
          <w:rFonts w:ascii="Arial" w:cs="Arial" w:eastAsia="Arial" w:hAnsi="Arial"/>
          <w:sz w:val="14"/>
          <w:szCs w:val="14"/>
          <w:color w:val="auto"/>
        </w:rPr>
        <w:t>1,001,449,847 ordinary shares, comprised of 670,157,244 Class A ordinary shares and 331,292,603 Class B ordinary shares (or 679,157,244 Class A ordinary shares if the underwriters exercise their option to purchase additional ADSs in full).</w:t>
      </w:r>
    </w:p>
    <w:p>
      <w:pPr>
        <w:spacing w:after="0" w:line="115" w:lineRule="exact"/>
        <w:rPr>
          <w:sz w:val="20"/>
          <w:szCs w:val="20"/>
          <w:color w:val="auto"/>
        </w:rPr>
      </w:pPr>
    </w:p>
    <w:p>
      <w:pPr>
        <w:jc w:val="both"/>
        <w:ind w:right="1458"/>
        <w:spacing w:after="0" w:line="245" w:lineRule="auto"/>
        <w:rPr>
          <w:sz w:val="20"/>
          <w:szCs w:val="20"/>
          <w:color w:val="auto"/>
        </w:rPr>
      </w:pPr>
      <w:r>
        <w:rPr>
          <w:rFonts w:ascii="Arial" w:cs="Arial" w:eastAsia="Arial" w:hAnsi="Arial"/>
          <w:sz w:val="14"/>
          <w:szCs w:val="14"/>
          <w:color w:val="auto"/>
        </w:rPr>
        <w:t>We have granted the underwriters the right to purchase up to an additional 9,000,000 Class A ordinary shares from us within 30 days of the date of this prospectus, to cover over-allotments, if any, in connection with the offering.</w:t>
      </w:r>
    </w:p>
    <w:p>
      <w:pPr>
        <w:spacing w:after="0" w:line="110" w:lineRule="exact"/>
        <w:rPr>
          <w:sz w:val="20"/>
          <w:szCs w:val="20"/>
          <w:color w:val="auto"/>
        </w:rPr>
      </w:pPr>
    </w:p>
    <w:p>
      <w:pPr>
        <w:jc w:val="both"/>
        <w:ind w:right="1458"/>
        <w:spacing w:after="0" w:line="237" w:lineRule="auto"/>
        <w:rPr>
          <w:sz w:val="20"/>
          <w:szCs w:val="20"/>
          <w:color w:val="auto"/>
        </w:rPr>
      </w:pPr>
      <w:r>
        <w:rPr>
          <w:rFonts w:ascii="Arial" w:cs="Arial" w:eastAsia="Arial" w:hAnsi="Arial"/>
          <w:sz w:val="14"/>
          <w:szCs w:val="14"/>
          <w:color w:val="auto"/>
        </w:rPr>
        <w:t>API (HONG KONG) INVESTMENT LIMITED (together with its affiliates, “API”), through one of its affiliates, has subscribed for, and been allocated by the underwriters an aggregate of 1,529,411 ADSs. API’s subscriptions for the ADSs are at the initial public offering price and on the same terms as the other ADSs being offered. The underwriters receive the same underwriting discounts and commissions on any of the ADSs sold to API as they do on any other ADSs sold to the public in this offering. For additional information, see “Underwriting.”</w:t>
      </w:r>
    </w:p>
    <w:p>
      <w:pPr>
        <w:spacing w:after="0" w:line="105" w:lineRule="exact"/>
        <w:rPr>
          <w:sz w:val="20"/>
          <w:szCs w:val="20"/>
          <w:color w:val="auto"/>
        </w:rPr>
      </w:pPr>
    </w:p>
    <w:p>
      <w:pPr>
        <w:jc w:val="both"/>
        <w:ind w:right="1458"/>
        <w:spacing w:after="0" w:line="251" w:lineRule="auto"/>
        <w:rPr>
          <w:sz w:val="20"/>
          <w:szCs w:val="20"/>
          <w:color w:val="auto"/>
        </w:rPr>
      </w:pPr>
      <w:r>
        <w:rPr>
          <w:rFonts w:ascii="Arial" w:cs="Arial" w:eastAsia="Arial" w:hAnsi="Arial"/>
          <w:sz w:val="14"/>
          <w:szCs w:val="14"/>
          <w:color w:val="auto"/>
        </w:rPr>
        <w:t>We have been approved for listing the ADSs representing our Class A ordinary shares on the Nasdaq Global Market, or Nasdaq, under the symbol “DSC.”</w:t>
      </w:r>
    </w:p>
    <w:p>
      <w:pPr>
        <w:spacing w:after="0" w:line="107" w:lineRule="exact"/>
        <w:rPr>
          <w:sz w:val="20"/>
          <w:szCs w:val="20"/>
          <w:color w:val="auto"/>
        </w:rPr>
      </w:pPr>
    </w:p>
    <w:p>
      <w:pPr>
        <w:jc w:val="both"/>
        <w:ind w:right="1458"/>
        <w:spacing w:after="0" w:line="238" w:lineRule="auto"/>
        <w:rPr>
          <w:sz w:val="20"/>
          <w:szCs w:val="20"/>
          <w:color w:val="auto"/>
        </w:rPr>
      </w:pPr>
      <w:r>
        <w:rPr>
          <w:rFonts w:ascii="Arial" w:cs="Arial" w:eastAsia="Arial" w:hAnsi="Arial"/>
          <w:sz w:val="14"/>
          <w:szCs w:val="14"/>
          <w:color w:val="auto"/>
        </w:rPr>
        <w:t>We estimate that the net proceeds to us from the offering will be approximately US$39.1 million, or approximately US$46.8 million if the underwriters exercise their option to purchase additional ADSs in full, based on the initial public offering price set forth on the front cover of this prospectus, after deducting underwriting discounts and commissions and estimated listing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We intend to use the net proceeds from this offering for</w:t>
      </w:r>
    </w:p>
    <w:p>
      <w:pPr>
        <w:spacing w:after="0" w:line="13" w:lineRule="exact"/>
        <w:rPr>
          <w:sz w:val="20"/>
          <w:szCs w:val="20"/>
          <w:color w:val="auto"/>
        </w:rPr>
      </w:pPr>
    </w:p>
    <w:p>
      <w:pPr>
        <w:jc w:val="both"/>
        <w:ind w:right="1458" w:firstLine="2"/>
        <w:spacing w:after="0" w:line="236" w:lineRule="auto"/>
        <w:tabs>
          <w:tab w:leader="none" w:pos="194"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enhancing our digitalization solutions and expanding our transaction services to auto merchants, (ii) additional investment in technological capabilities, and (iii) general corporate purposes and working capital. For more information, see “Use of Proceeds.”</w:t>
      </w:r>
    </w:p>
    <w:p>
      <w:pPr>
        <w:spacing w:after="0" w:line="104" w:lineRule="exact"/>
        <w:rPr>
          <w:sz w:val="20"/>
          <w:szCs w:val="20"/>
          <w:color w:val="auto"/>
        </w:rPr>
      </w:pPr>
    </w:p>
    <w:p>
      <w:pPr>
        <w:jc w:val="both"/>
        <w:ind w:right="1458"/>
        <w:spacing w:after="0" w:line="237" w:lineRule="auto"/>
        <w:rPr>
          <w:sz w:val="20"/>
          <w:szCs w:val="20"/>
          <w:color w:val="auto"/>
        </w:rPr>
      </w:pPr>
      <w:r>
        <w:rPr>
          <w:rFonts w:ascii="Arial" w:cs="Arial" w:eastAsia="Arial" w:hAnsi="Arial"/>
          <w:sz w:val="14"/>
          <w:szCs w:val="14"/>
          <w:color w:val="auto"/>
        </w:rPr>
        <w:t>We, our directors, and executive officers at the effectiveness of the registration statement and existing shareholders have agreed with the underwriters, subject to certain exceptions, not to offer, sell, or dispose of any shares of our share capital or securities convertible into or exchangeable or exercisable for any shares of our share capital during the 180-day period following the date of this prospectus. For more information, see “Shares Eligible for Future Sale” and “Underwriting.”</w:t>
      </w:r>
    </w:p>
    <w:p>
      <w:pPr>
        <w:spacing w:after="0" w:line="119" w:lineRule="exact"/>
        <w:rPr>
          <w:sz w:val="20"/>
          <w:szCs w:val="20"/>
          <w:color w:val="auto"/>
        </w:rPr>
      </w:pPr>
    </w:p>
    <w:p>
      <w:pPr>
        <w:jc w:val="both"/>
        <w:ind w:right="1458"/>
        <w:spacing w:after="0" w:line="251" w:lineRule="auto"/>
        <w:rPr>
          <w:sz w:val="20"/>
          <w:szCs w:val="20"/>
          <w:color w:val="auto"/>
        </w:rPr>
      </w:pPr>
      <w:r>
        <w:rPr>
          <w:rFonts w:ascii="Arial" w:cs="Arial" w:eastAsia="Arial" w:hAnsi="Arial"/>
          <w:sz w:val="14"/>
          <w:szCs w:val="14"/>
          <w:color w:val="auto"/>
        </w:rPr>
        <w:t>The underwriters expect to deliver the ADSs against payment therefor through the facilities of The Depository Trust Company on June 26, 2026.</w:t>
      </w:r>
    </w:p>
    <w:p>
      <w:pPr>
        <w:spacing w:after="0" w:line="200" w:lineRule="exact"/>
        <w:rPr>
          <w:sz w:val="20"/>
          <w:szCs w:val="20"/>
          <w:color w:val="auto"/>
        </w:rPr>
      </w:pPr>
    </w:p>
    <w:p>
      <w:pPr>
        <w:sectPr>
          <w:pgSz w:w="11920" w:h="16838" w:orient="portrait"/>
          <w:cols w:equalWidth="0" w:num="2">
            <w:col w:w="3420" w:space="320"/>
            <w:col w:w="5298"/>
          </w:cols>
          <w:pgMar w:left="1440" w:top="230" w:right="1440" w:bottom="1440" w:gutter="0" w:footer="0" w:header="0"/>
          <w:type w:val="continuous"/>
        </w:sectPr>
      </w:pPr>
    </w:p>
    <w:p>
      <w:pPr>
        <w:spacing w:after="0" w:line="218" w:lineRule="exact"/>
        <w:rPr>
          <w:sz w:val="20"/>
          <w:szCs w:val="20"/>
          <w:color w:val="auto"/>
        </w:rPr>
      </w:pPr>
    </w:p>
    <w:p>
      <w:pPr>
        <w:jc w:val="center"/>
        <w:ind w:right="-21"/>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22860</wp:posOffset>
            </wp:positionV>
            <wp:extent cx="395351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37" w:name="page38"/>
    <w:bookmarkEnd w:id="37"/>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12700</wp:posOffset>
            </wp:positionV>
            <wp:extent cx="3959225" cy="5243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59225" cy="524383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p>
      <w:pPr>
        <w:spacing w:after="0" w:line="286" w:lineRule="exact"/>
        <w:rPr>
          <w:sz w:val="20"/>
          <w:szCs w:val="20"/>
          <w:color w:val="auto"/>
        </w:rPr>
      </w:pPr>
    </w:p>
    <w:p>
      <w:pPr>
        <w:jc w:val="center"/>
        <w:ind w:left="600"/>
        <w:spacing w:after="0"/>
        <w:rPr>
          <w:sz w:val="20"/>
          <w:szCs w:val="20"/>
          <w:color w:val="auto"/>
        </w:rPr>
      </w:pPr>
      <w:r>
        <w:rPr>
          <w:rFonts w:ascii="Arial" w:cs="Arial" w:eastAsia="Arial" w:hAnsi="Arial"/>
          <w:sz w:val="13"/>
          <w:szCs w:val="13"/>
          <w:color w:val="auto"/>
        </w:rPr>
        <w:t>Depositary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Deutsche Bank Trust Company Americas.</w:t>
      </w:r>
    </w:p>
    <w:p>
      <w:pPr>
        <w:spacing w:after="0" w:line="183" w:lineRule="exact"/>
        <w:rPr>
          <w:sz w:val="20"/>
          <w:szCs w:val="20"/>
          <w:color w:val="auto"/>
        </w:rPr>
      </w:pPr>
    </w:p>
    <w:p>
      <w:pPr>
        <w:sectPr>
          <w:pgSz w:w="11920" w:h="16838" w:orient="portrait"/>
          <w:cols w:equalWidth="0" w:num="2">
            <w:col w:w="3020" w:space="720"/>
            <w:col w:w="5298"/>
          </w:cols>
          <w:pgMar w:left="1440" w:top="230" w:right="1440" w:bottom="1440" w:gutter="0" w:footer="0" w:header="0"/>
          <w:type w:val="continuous"/>
        </w:sectPr>
      </w:pPr>
    </w:p>
    <w:p>
      <w:pPr>
        <w:ind w:left="1480"/>
        <w:spacing w:after="0"/>
        <w:rPr>
          <w:sz w:val="20"/>
          <w:szCs w:val="20"/>
          <w:color w:val="auto"/>
        </w:rPr>
      </w:pPr>
      <w:r>
        <w:rPr>
          <w:rFonts w:ascii="Arial" w:cs="Arial" w:eastAsia="Arial" w:hAnsi="Arial"/>
          <w:sz w:val="13"/>
          <w:szCs w:val="13"/>
          <w:color w:val="auto"/>
        </w:rPr>
        <w:t>Taxation</w:t>
      </w:r>
    </w:p>
    <w:p>
      <w:pPr>
        <w:spacing w:after="0" w:line="20" w:lineRule="exact"/>
        <w:rPr>
          <w:sz w:val="20"/>
          <w:szCs w:val="20"/>
          <w:color w:val="auto"/>
        </w:rPr>
      </w:pPr>
      <w:r>
        <w:rPr>
          <w:sz w:val="20"/>
          <w:szCs w:val="20"/>
          <w:color w:val="auto"/>
        </w:rPr>
        <w:br w:type="column"/>
      </w:r>
    </w:p>
    <w:p>
      <w:pPr>
        <w:jc w:val="both"/>
        <w:ind w:right="1458"/>
        <w:spacing w:after="0" w:line="251" w:lineRule="auto"/>
        <w:rPr>
          <w:sz w:val="20"/>
          <w:szCs w:val="20"/>
          <w:color w:val="auto"/>
        </w:rPr>
      </w:pPr>
      <w:r>
        <w:rPr>
          <w:rFonts w:ascii="Arial" w:cs="Arial" w:eastAsia="Arial" w:hAnsi="Arial"/>
          <w:sz w:val="14"/>
          <w:szCs w:val="14"/>
          <w:color w:val="auto"/>
        </w:rPr>
        <w:t>For Cayman Islands, PRC and U.S. federal income tax considerations with respect to the ownership and disposition of the ADSs, see “Taxation.”</w:t>
      </w:r>
    </w:p>
    <w:p>
      <w:pPr>
        <w:spacing w:after="0" w:line="107" w:lineRule="exact"/>
        <w:rPr>
          <w:sz w:val="20"/>
          <w:szCs w:val="20"/>
          <w:color w:val="auto"/>
        </w:rPr>
      </w:pPr>
    </w:p>
    <w:p>
      <w:pPr>
        <w:sectPr>
          <w:pgSz w:w="11920" w:h="16838" w:orient="portrait"/>
          <w:cols w:equalWidth="0" w:num="2">
            <w:col w:w="3020" w:space="720"/>
            <w:col w:w="5298"/>
          </w:cols>
          <w:pgMar w:left="1440" w:top="230" w:right="1440" w:bottom="1440" w:gutter="0" w:footer="0" w:header="0"/>
          <w:type w:val="continuous"/>
        </w:sectPr>
      </w:pPr>
    </w:p>
    <w:p>
      <w:pPr>
        <w:jc w:val="center"/>
        <w:ind w:left="700"/>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jc w:val="both"/>
        <w:ind w:right="1458"/>
        <w:spacing w:after="0" w:line="245" w:lineRule="auto"/>
        <w:rPr>
          <w:sz w:val="20"/>
          <w:szCs w:val="20"/>
          <w:color w:val="auto"/>
        </w:rPr>
      </w:pPr>
      <w:r>
        <w:rPr>
          <w:rFonts w:ascii="Arial" w:cs="Arial" w:eastAsia="Arial" w:hAnsi="Arial"/>
          <w:sz w:val="14"/>
          <w:szCs w:val="14"/>
          <w:color w:val="auto"/>
        </w:rPr>
        <w:t>See “Risk Factors” and other information included in this prospectus for discussions of the risks relating to investing in the ADSs. You should carefully consider these risks before deciding to invest in the ADSs.</w:t>
      </w:r>
    </w:p>
    <w:p>
      <w:pPr>
        <w:spacing w:after="0" w:line="131" w:lineRule="exact"/>
        <w:rPr>
          <w:sz w:val="20"/>
          <w:szCs w:val="20"/>
          <w:color w:val="auto"/>
        </w:rPr>
      </w:pPr>
    </w:p>
    <w:p>
      <w:pPr>
        <w:sectPr>
          <w:pgSz w:w="11920" w:h="16838" w:orient="portrait"/>
          <w:cols w:equalWidth="0" w:num="2">
            <w:col w:w="3020" w:space="720"/>
            <w:col w:w="5298"/>
          </w:cols>
          <w:pgMar w:left="1440" w:top="230" w:right="1440" w:bottom="1440" w:gutter="0" w:footer="0" w:header="0"/>
          <w:type w:val="continuous"/>
        </w:sectPr>
      </w:pPr>
    </w:p>
    <w:p>
      <w:pPr>
        <w:jc w:val="both"/>
        <w:ind w:left="1480" w:right="1458" w:firstLine="249"/>
        <w:spacing w:after="0" w:line="251" w:lineRule="auto"/>
        <w:rPr>
          <w:sz w:val="20"/>
          <w:szCs w:val="20"/>
          <w:color w:val="auto"/>
        </w:rPr>
      </w:pPr>
      <w:r>
        <w:rPr>
          <w:rFonts w:ascii="Arial" w:cs="Arial" w:eastAsia="Arial" w:hAnsi="Arial"/>
          <w:sz w:val="14"/>
          <w:szCs w:val="14"/>
          <w:color w:val="auto"/>
        </w:rPr>
        <w:t>Unless otherwise indicated, all information contained in this prospectus assumes no exercise of the option granted to the underwriters to purchase up to 9,000,000 additional Class A ordinary shares to cover over-allotments, if any, in connection with the offering.</w:t>
      </w:r>
    </w:p>
    <w:p>
      <w:pPr>
        <w:spacing w:after="0" w:line="76"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As used in this prospectus, ordinary shares outstanding on an “as-converted basis” gives effect to the following, in each case immediately prior to the completion of this offering:</w:t>
      </w:r>
    </w:p>
    <w:p>
      <w:pPr>
        <w:spacing w:after="0" w:line="51" w:lineRule="exact"/>
        <w:rPr>
          <w:sz w:val="20"/>
          <w:szCs w:val="20"/>
          <w:color w:val="auto"/>
        </w:rPr>
      </w:pPr>
    </w:p>
    <w:p>
      <w:pPr>
        <w:jc w:val="both"/>
        <w:ind w:left="1860" w:right="1458" w:hanging="130"/>
        <w:spacing w:after="0" w:line="237" w:lineRule="auto"/>
        <w:tabs>
          <w:tab w:leader="none" w:pos="1864" w:val="left"/>
        </w:tabs>
        <w:numPr>
          <w:ilvl w:val="0"/>
          <w:numId w:val="22"/>
        </w:numPr>
        <w:rPr>
          <w:rFonts w:ascii="Arial" w:cs="Arial" w:eastAsia="Arial" w:hAnsi="Arial"/>
          <w:sz w:val="11"/>
          <w:szCs w:val="11"/>
          <w:color w:val="auto"/>
        </w:rPr>
      </w:pPr>
      <w:r>
        <w:rPr>
          <w:rFonts w:ascii="Arial" w:cs="Arial" w:eastAsia="Arial" w:hAnsi="Arial"/>
          <w:sz w:val="14"/>
          <w:szCs w:val="14"/>
          <w:color w:val="auto"/>
        </w:rPr>
        <w:t>conversion of preferred shares by giving the effect of (i) the automatic conversion of 600,621,204 issued and outstanding preferred shares (excluding Series E-3 and Series F preferred shares) into 600,621,204 ordinary shares, on a one-for-one basis; and (ii) the automatic conversion of 43,099,293 Series E-3 preferred shares and 160,532,881 Series F preferred shares into 43,169,428 and 161,499,813 ordinary shares, respectively, at a ratio of approximately 0.9984:1 and 0.9940:1, respectively (due to certain anti-dilution mechanism pursuant to the currently effective memorandum and articles of association), resulting in an aggregate of 941,449,847 ordinary shares (including 136,159,402 ordinary shares outstanding prior to such conversion) outstanding on an as-converted basis; and</w:t>
      </w:r>
    </w:p>
    <w:p>
      <w:pPr>
        <w:spacing w:after="0" w:line="84"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22"/>
        </w:numPr>
        <w:rPr>
          <w:rFonts w:ascii="Arial" w:cs="Arial" w:eastAsia="Arial" w:hAnsi="Arial"/>
          <w:sz w:val="11"/>
          <w:szCs w:val="11"/>
          <w:color w:val="auto"/>
        </w:rPr>
      </w:pPr>
      <w:r>
        <w:rPr>
          <w:rFonts w:ascii="Arial" w:cs="Arial" w:eastAsia="Arial" w:hAnsi="Arial"/>
          <w:sz w:val="14"/>
          <w:szCs w:val="14"/>
          <w:color w:val="auto"/>
        </w:rPr>
        <w:t>the redesignation of all issued and outstanding ordinary shares into 610,157,244 Class A ordinary shares and 331,292,603 Class B ordinary shares (331,292,603 ordinary shares held of record by Binary Sky Limited and Cheche Group Limited) on a one-for-one basis.</w:t>
      </w:r>
    </w:p>
    <w:p>
      <w:pPr>
        <w:spacing w:after="0" w:line="76" w:lineRule="exact"/>
        <w:rPr>
          <w:sz w:val="20"/>
          <w:szCs w:val="20"/>
          <w:color w:val="auto"/>
        </w:rPr>
      </w:pPr>
    </w:p>
    <w:p>
      <w:pPr>
        <w:ind w:left="1480" w:right="1458" w:firstLine="249"/>
        <w:spacing w:after="0" w:line="271" w:lineRule="auto"/>
        <w:rPr>
          <w:sz w:val="20"/>
          <w:szCs w:val="20"/>
          <w:color w:val="auto"/>
        </w:rPr>
      </w:pPr>
      <w:r>
        <w:rPr>
          <w:rFonts w:ascii="Arial" w:cs="Arial" w:eastAsia="Arial" w:hAnsi="Arial"/>
          <w:sz w:val="14"/>
          <w:szCs w:val="14"/>
          <w:color w:val="auto"/>
        </w:rPr>
        <w:t>Unless otherwise indicated, the number of ordinary shares that will be issued and outstanding immediately after this offering:</w:t>
      </w:r>
    </w:p>
    <w:p>
      <w:pPr>
        <w:spacing w:after="0" w:line="51" w:lineRule="exact"/>
        <w:rPr>
          <w:sz w:val="20"/>
          <w:szCs w:val="20"/>
          <w:color w:val="auto"/>
        </w:rPr>
      </w:pPr>
    </w:p>
    <w:p>
      <w:pPr>
        <w:jc w:val="both"/>
        <w:ind w:left="1860" w:right="1458" w:hanging="130"/>
        <w:spacing w:after="0" w:line="251" w:lineRule="auto"/>
        <w:tabs>
          <w:tab w:leader="none" w:pos="1864" w:val="left"/>
        </w:tabs>
        <w:numPr>
          <w:ilvl w:val="0"/>
          <w:numId w:val="23"/>
        </w:numPr>
        <w:rPr>
          <w:rFonts w:ascii="Arial" w:cs="Arial" w:eastAsia="Arial" w:hAnsi="Arial"/>
          <w:sz w:val="11"/>
          <w:szCs w:val="11"/>
          <w:color w:val="auto"/>
        </w:rPr>
      </w:pPr>
      <w:r>
        <w:rPr>
          <w:rFonts w:ascii="Arial" w:cs="Arial" w:eastAsia="Arial" w:hAnsi="Arial"/>
          <w:sz w:val="14"/>
          <w:szCs w:val="14"/>
          <w:color w:val="auto"/>
        </w:rPr>
        <w:t>is based upon 941,449,847 ordinary shares (including 610,157,244 Class A ordinary shares and 331,292,603 Class B ordinary shares) on an as-converted basis outstanding as of the date of this prospectus;</w:t>
      </w:r>
    </w:p>
    <w:p>
      <w:pPr>
        <w:spacing w:after="0" w:line="75"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3"/>
        </w:numPr>
        <w:rPr>
          <w:rFonts w:ascii="Arial" w:cs="Arial" w:eastAsia="Arial" w:hAnsi="Arial"/>
          <w:sz w:val="11"/>
          <w:szCs w:val="11"/>
          <w:color w:val="auto"/>
        </w:rPr>
      </w:pPr>
      <w:r>
        <w:rPr>
          <w:rFonts w:ascii="Arial" w:cs="Arial" w:eastAsia="Arial" w:hAnsi="Arial"/>
          <w:sz w:val="14"/>
          <w:szCs w:val="14"/>
          <w:color w:val="auto"/>
        </w:rPr>
        <w:t>assumes no exercise of the underwriters’ option to purchase additional ADSs representing Class A ordinary shares;</w:t>
      </w:r>
    </w:p>
    <w:p>
      <w:pPr>
        <w:spacing w:after="0" w:line="61"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3"/>
        </w:numPr>
        <w:rPr>
          <w:rFonts w:ascii="Arial" w:cs="Arial" w:eastAsia="Arial" w:hAnsi="Arial"/>
          <w:sz w:val="11"/>
          <w:szCs w:val="11"/>
          <w:color w:val="auto"/>
        </w:rPr>
      </w:pPr>
      <w:r>
        <w:rPr>
          <w:rFonts w:ascii="Arial" w:cs="Arial" w:eastAsia="Arial" w:hAnsi="Arial"/>
          <w:sz w:val="14"/>
          <w:szCs w:val="14"/>
          <w:color w:val="auto"/>
        </w:rPr>
        <w:t>excludes 2,507,698 Class A ordinary shares authorized and reserved for issuance upon the exercise of the Yunyang Warrants;</w:t>
      </w:r>
    </w:p>
    <w:p>
      <w:pPr>
        <w:spacing w:after="0" w:line="51" w:lineRule="exact"/>
        <w:rPr>
          <w:rFonts w:ascii="Arial" w:cs="Arial" w:eastAsia="Arial" w:hAnsi="Arial"/>
          <w:sz w:val="11"/>
          <w:szCs w:val="11"/>
          <w:color w:val="auto"/>
        </w:rPr>
      </w:pPr>
    </w:p>
    <w:p>
      <w:pPr>
        <w:jc w:val="both"/>
        <w:ind w:left="1860" w:right="1458" w:hanging="130"/>
        <w:spacing w:after="0" w:line="251" w:lineRule="auto"/>
        <w:tabs>
          <w:tab w:leader="none" w:pos="1864" w:val="left"/>
        </w:tabs>
        <w:numPr>
          <w:ilvl w:val="0"/>
          <w:numId w:val="23"/>
        </w:numPr>
        <w:rPr>
          <w:rFonts w:ascii="Arial" w:cs="Arial" w:eastAsia="Arial" w:hAnsi="Arial"/>
          <w:sz w:val="11"/>
          <w:szCs w:val="11"/>
          <w:color w:val="auto"/>
        </w:rPr>
      </w:pPr>
      <w:r>
        <w:rPr>
          <w:rFonts w:ascii="Arial" w:cs="Arial" w:eastAsia="Arial" w:hAnsi="Arial"/>
          <w:sz w:val="14"/>
          <w:szCs w:val="14"/>
          <w:color w:val="auto"/>
        </w:rPr>
        <w:t>excludes 94,715,674 Class A ordinary shares issuable upon the exercise of 94,715,674 share options outstanding as of the date of this prospectus, which were granted pursuant to the 2023 Plan; and</w:t>
      </w:r>
    </w:p>
    <w:p>
      <w:pPr>
        <w:spacing w:after="0" w:line="75" w:lineRule="exact"/>
        <w:rPr>
          <w:rFonts w:ascii="Arial" w:cs="Arial" w:eastAsia="Arial" w:hAnsi="Arial"/>
          <w:sz w:val="11"/>
          <w:szCs w:val="11"/>
          <w:color w:val="auto"/>
        </w:rPr>
      </w:pPr>
    </w:p>
    <w:p>
      <w:pPr>
        <w:ind w:left="1860" w:right="1458" w:hanging="130"/>
        <w:spacing w:after="0" w:line="271" w:lineRule="auto"/>
        <w:tabs>
          <w:tab w:leader="none" w:pos="1864" w:val="left"/>
        </w:tabs>
        <w:numPr>
          <w:ilvl w:val="0"/>
          <w:numId w:val="23"/>
        </w:numPr>
        <w:rPr>
          <w:rFonts w:ascii="Arial" w:cs="Arial" w:eastAsia="Arial" w:hAnsi="Arial"/>
          <w:sz w:val="11"/>
          <w:szCs w:val="11"/>
          <w:color w:val="auto"/>
        </w:rPr>
      </w:pPr>
      <w:r>
        <w:rPr>
          <w:rFonts w:ascii="Arial" w:cs="Arial" w:eastAsia="Arial" w:hAnsi="Arial"/>
          <w:sz w:val="14"/>
          <w:szCs w:val="14"/>
          <w:color w:val="auto"/>
        </w:rPr>
        <w:t>excludes 772,079 Class A ordinary shares reserved for future issuances upon the exercise of share options to be granted pursuant to the 2023 Plan.</w:t>
      </w:r>
    </w:p>
    <w:p>
      <w:pPr>
        <w:spacing w:after="0" w:line="62" w:lineRule="exact"/>
        <w:rPr>
          <w:sz w:val="20"/>
          <w:szCs w:val="20"/>
          <w:color w:val="auto"/>
        </w:rPr>
      </w:pPr>
    </w:p>
    <w:p>
      <w:pPr>
        <w:jc w:val="center"/>
        <w:ind w:right="78"/>
        <w:spacing w:after="0"/>
        <w:rPr>
          <w:sz w:val="20"/>
          <w:szCs w:val="20"/>
          <w:color w:val="auto"/>
        </w:rPr>
      </w:pPr>
      <w:r>
        <w:rPr>
          <w:rFonts w:ascii="Arial" w:cs="Arial" w:eastAsia="Arial" w:hAnsi="Arial"/>
          <w:sz w:val="14"/>
          <w:szCs w:val="14"/>
          <w:color w:val="auto"/>
        </w:rPr>
        <w:t>For more information about the 2023 Plan and the Yunyang Warrants, see “Management.”</w:t>
      </w:r>
    </w:p>
    <w:p>
      <w:pPr>
        <w:spacing w:after="0" w:line="27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38" w:name="page39"/>
    <w:bookmarkEnd w:id="3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1554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59225" cy="155448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OUR SUMMARY COMBINED AND CONSOLIDATED FINANCIAL DATA AND OPERATING DATA</w:t>
      </w:r>
    </w:p>
    <w:p>
      <w:pPr>
        <w:spacing w:after="0" w:line="120"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color w:val="auto"/>
        </w:rPr>
        <w:t>The following summary combined and consolidated statements of net loss data for the years ended December 31, 2023, 2024 and 2025, summary consolidated balance sheets data as of December 31, 2024 and 2025, and summary combined and consolidated statements of cash flows data for the years ended December 31, 2023, 2024 and 2025 have been derived from the audited combined and consolidated financial statements of our Company included elsewhere in this prospectus, which were prepared and presented in accordance with U.S. GAAP. Our historical results are not necessarily indicative of results expected for future periods. You should read this “Our Summary Combined and Consolidated Financial Data and Operating Data” section together with our combined and consolidated financial statements and the related notes and “Management’s Discussion and Analysis of Financial Condition and Results of Operations” included elsewhere in this prospectus.</w:t>
      </w:r>
    </w:p>
    <w:p>
      <w:pPr>
        <w:spacing w:after="0" w:line="25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9" w:name="page40"/>
    <w:bookmarkEnd w:id="39"/>
    <w:p>
      <w:pPr>
        <w:ind w:left="1420"/>
        <w:spacing w:after="0"/>
        <w:rPr>
          <w:sz w:val="20"/>
          <w:szCs w:val="20"/>
          <w:color w:val="auto"/>
        </w:rPr>
      </w:pPr>
      <w:r>
        <w:rPr>
          <w:rFonts w:ascii="Arial" w:cs="Arial" w:eastAsia="Arial" w:hAnsi="Arial"/>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12700</wp:posOffset>
            </wp:positionV>
            <wp:extent cx="3959225" cy="8399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59225" cy="839978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p>
      <w:pPr>
        <w:spacing w:after="0" w:line="266"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The following table presents our summary combined and consolidated statements of net loss data for the years indicated.</w:t>
      </w:r>
    </w:p>
    <w:p>
      <w:pPr>
        <w:spacing w:after="0" w:line="143" w:lineRule="exact"/>
        <w:rPr>
          <w:sz w:val="20"/>
          <w:szCs w:val="20"/>
          <w:color w:val="auto"/>
        </w:rPr>
      </w:pPr>
    </w:p>
    <w:tbl>
      <w:tblPr>
        <w:tblLayout w:type="fixed"/>
        <w:tblInd w:w="14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For the Year Ended December 31,</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Pr>
          <w:p>
            <w:pPr>
              <w:jc w:val="right"/>
              <w:ind w:right="118"/>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8"/>
                <w:szCs w:val="18"/>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8"/>
                <w:szCs w:val="18"/>
                <w:color w:val="auto"/>
              </w:rPr>
            </w:pPr>
          </w:p>
        </w:tc>
        <w:tc>
          <w:tcPr>
            <w:tcW w:w="1640" w:type="dxa"/>
            <w:vAlign w:val="bottom"/>
            <w:gridSpan w:val="5"/>
          </w:tcPr>
          <w:p>
            <w:pPr>
              <w:jc w:val="right"/>
              <w:ind w:right="558"/>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400" w:type="dxa"/>
            <w:vAlign w:val="bottom"/>
            <w:gridSpan w:val="11"/>
          </w:tcPr>
          <w:p>
            <w:pPr>
              <w:jc w:val="center"/>
              <w:spacing w:after="0"/>
              <w:rPr>
                <w:sz w:val="20"/>
                <w:szCs w:val="20"/>
                <w:color w:val="auto"/>
              </w:rPr>
            </w:pPr>
            <w:r>
              <w:rPr>
                <w:rFonts w:ascii="Arial" w:cs="Arial" w:eastAsia="Arial" w:hAnsi="Arial"/>
                <w:sz w:val="11"/>
                <w:szCs w:val="11"/>
                <w:b w:val="1"/>
                <w:bCs w:val="1"/>
                <w:color w:val="auto"/>
              </w:rPr>
              <w:t>(in thousands, except for shares and per share data)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Combined and Consolidated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Statements of Net Loss Data</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Digitalization solutions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140,290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92,976</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74,519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10,656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2"/>
                <w:szCs w:val="12"/>
                <w:color w:val="auto"/>
              </w:rPr>
              <w:t>Transaction services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768,754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855,251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602,540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909,044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948,227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677,059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(603,327)</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(657,526)</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(416,662)</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305,717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290,701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260,397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37,236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Sales and marketing expenses</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(265,179)</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(277,584)</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(198,760)</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2"/>
                <w:szCs w:val="12"/>
                <w:color w:val="auto"/>
              </w:rPr>
              <w:t>General and administrative expenses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(145,509)</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(101,628)</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(78,909)</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(11,284)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 expenses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(85,600)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(100,039)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(84,662)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00" w:type="dxa"/>
            <w:vAlign w:val="bottom"/>
            <w:gridSpan w:val="2"/>
          </w:tcPr>
          <w:p>
            <w:pPr>
              <w:spacing w:after="0"/>
              <w:rPr>
                <w:sz w:val="20"/>
                <w:szCs w:val="20"/>
                <w:color w:val="auto"/>
              </w:rPr>
            </w:pPr>
            <w:r>
              <w:rPr>
                <w:rFonts w:ascii="Arial" w:cs="Arial" w:eastAsia="Arial" w:hAnsi="Arial"/>
                <w:sz w:val="12"/>
                <w:szCs w:val="12"/>
                <w:b w:val="1"/>
                <w:bCs w:val="1"/>
                <w:color w:val="auto"/>
              </w:rPr>
              <w:t>Total operating expenses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(496,288)</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(479,251)</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(362,331)</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from operations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(190,571)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(188,550)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(101,934)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00" w:type="dxa"/>
            <w:vAlign w:val="bottom"/>
            <w:gridSpan w:val="2"/>
          </w:tcPr>
          <w:p>
            <w:pPr>
              <w:spacing w:after="0"/>
              <w:rPr>
                <w:sz w:val="20"/>
                <w:szCs w:val="20"/>
                <w:color w:val="auto"/>
              </w:rPr>
            </w:pPr>
            <w:r>
              <w:rPr>
                <w:rFonts w:ascii="Arial" w:cs="Arial" w:eastAsia="Arial" w:hAnsi="Arial"/>
                <w:sz w:val="12"/>
                <w:szCs w:val="12"/>
                <w:color w:val="auto"/>
              </w:rPr>
              <w:t>Other income/(expenses):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(805)</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(4,745)</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(3,701)</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(529)</w:t>
            </w:r>
          </w:p>
        </w:tc>
        <w:tc>
          <w:tcPr>
            <w:tcW w:w="0" w:type="dxa"/>
            <w:vAlign w:val="bottom"/>
          </w:tcPr>
          <w:p>
            <w:pPr>
              <w:spacing w:after="0"/>
              <w:rPr>
                <w:sz w:val="1"/>
                <w:szCs w:val="1"/>
                <w:color w:val="auto"/>
              </w:rPr>
            </w:pPr>
          </w:p>
        </w:tc>
      </w:tr>
      <w:tr>
        <w:trPr>
          <w:trHeight w:val="196"/>
        </w:trPr>
        <w:tc>
          <w:tcPr>
            <w:tcW w:w="2700" w:type="dxa"/>
            <w:vAlign w:val="bottom"/>
            <w:gridSpan w:val="2"/>
          </w:tcPr>
          <w:p>
            <w:pPr>
              <w:spacing w:after="0"/>
              <w:rPr>
                <w:sz w:val="20"/>
                <w:szCs w:val="20"/>
                <w:color w:val="auto"/>
              </w:rPr>
            </w:pPr>
            <w:r>
              <w:rPr>
                <w:rFonts w:ascii="Arial" w:cs="Arial" w:eastAsia="Arial" w:hAnsi="Arial"/>
                <w:sz w:val="12"/>
                <w:szCs w:val="12"/>
                <w:color w:val="auto"/>
              </w:rPr>
              <w:t>Foreign exchange gain (loss) net</w:t>
            </w:r>
          </w:p>
        </w:tc>
        <w:tc>
          <w:tcPr>
            <w:tcW w:w="700" w:type="dxa"/>
            <w:vAlign w:val="bottom"/>
          </w:tcPr>
          <w:p>
            <w:pPr>
              <w:jc w:val="right"/>
              <w:spacing w:after="0"/>
              <w:rPr>
                <w:sz w:val="20"/>
                <w:szCs w:val="20"/>
                <w:color w:val="auto"/>
              </w:rPr>
            </w:pPr>
            <w:r>
              <w:rPr>
                <w:rFonts w:ascii="Arial" w:cs="Arial" w:eastAsia="Arial" w:hAnsi="Arial"/>
                <w:sz w:val="12"/>
                <w:szCs w:val="12"/>
                <w:color w:val="auto"/>
              </w:rPr>
              <w:t>1,554</w:t>
            </w: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(723)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Others,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spacing w:after="0"/>
              <w:rPr>
                <w:sz w:val="20"/>
                <w:szCs w:val="20"/>
                <w:color w:val="auto"/>
              </w:rPr>
            </w:pPr>
            <w:r>
              <w:rPr>
                <w:rFonts w:ascii="Arial" w:cs="Arial" w:eastAsia="Arial" w:hAnsi="Arial"/>
                <w:sz w:val="12"/>
                <w:szCs w:val="12"/>
                <w:b w:val="1"/>
                <w:bCs w:val="1"/>
                <w:color w:val="auto"/>
              </w:rPr>
              <w:t>Loss before income taxes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(189,326)</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(158,854)</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(94,852)</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(13,564)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(742)</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(384)</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(818)</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212"/>
        </w:trPr>
        <w:tc>
          <w:tcPr>
            <w:tcW w:w="2700" w:type="dxa"/>
            <w:vAlign w:val="bottom"/>
            <w:gridSpan w:val="2"/>
          </w:tcPr>
          <w:p>
            <w:pPr>
              <w:spacing w:after="0"/>
              <w:rPr>
                <w:sz w:val="20"/>
                <w:szCs w:val="20"/>
                <w:color w:val="auto"/>
              </w:rPr>
            </w:pPr>
            <w:r>
              <w:rPr>
                <w:rFonts w:ascii="Arial" w:cs="Arial" w:eastAsia="Arial" w:hAnsi="Arial"/>
                <w:sz w:val="12"/>
                <w:szCs w:val="12"/>
                <w:color w:val="auto"/>
              </w:rPr>
              <w:t>Share of profit from equity method investments</w:t>
            </w:r>
          </w:p>
        </w:tc>
        <w:tc>
          <w:tcPr>
            <w:tcW w:w="700" w:type="dxa"/>
            <w:vAlign w:val="bottom"/>
          </w:tcPr>
          <w:p>
            <w:pPr>
              <w:jc w:val="right"/>
              <w:spacing w:after="0"/>
              <w:rPr>
                <w:sz w:val="20"/>
                <w:szCs w:val="20"/>
                <w:color w:val="auto"/>
              </w:rPr>
            </w:pPr>
            <w:r>
              <w:rPr>
                <w:rFonts w:ascii="Arial" w:cs="Arial" w:eastAsia="Arial" w:hAnsi="Arial"/>
                <w:sz w:val="12"/>
                <w:szCs w:val="12"/>
                <w:color w:val="auto"/>
              </w:rPr>
              <w:t>3,488</w:t>
            </w:r>
          </w:p>
        </w:tc>
        <w:tc>
          <w:tcPr>
            <w:tcW w:w="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2"/>
                <w:szCs w:val="12"/>
                <w:color w:val="auto"/>
              </w:rPr>
              <w:t>2,116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(186,580)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(157,122)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(94,559)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(13,522)</w:t>
            </w:r>
          </w:p>
        </w:tc>
        <w:tc>
          <w:tcPr>
            <w:tcW w:w="0" w:type="dxa"/>
            <w:vAlign w:val="bottom"/>
          </w:tcPr>
          <w:p>
            <w:pPr>
              <w:spacing w:after="0"/>
              <w:rPr>
                <w:sz w:val="1"/>
                <w:szCs w:val="1"/>
                <w:color w:val="auto"/>
              </w:rPr>
            </w:pPr>
          </w:p>
        </w:tc>
      </w:tr>
      <w:tr>
        <w:trPr>
          <w:trHeight w:val="212"/>
        </w:trPr>
        <w:tc>
          <w:tcPr>
            <w:tcW w:w="2700" w:type="dxa"/>
            <w:vAlign w:val="bottom"/>
            <w:gridSpan w:val="2"/>
          </w:tcPr>
          <w:p>
            <w:pPr>
              <w:spacing w:after="0"/>
              <w:rPr>
                <w:sz w:val="20"/>
                <w:szCs w:val="20"/>
                <w:color w:val="auto"/>
              </w:rPr>
            </w:pPr>
            <w:r>
              <w:rPr>
                <w:rFonts w:ascii="Arial" w:cs="Arial" w:eastAsia="Arial" w:hAnsi="Arial"/>
                <w:sz w:val="12"/>
                <w:szCs w:val="12"/>
                <w:color w:val="auto"/>
              </w:rPr>
              <w:t>Net loss attributable to non-controlling interests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(8,216)</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(2,316)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the Company</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(178,364)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(154,806)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(95,050)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(13,592)</w:t>
            </w:r>
          </w:p>
        </w:tc>
        <w:tc>
          <w:tcPr>
            <w:tcW w:w="0" w:type="dxa"/>
            <w:vAlign w:val="bottom"/>
          </w:tcPr>
          <w:p>
            <w:pPr>
              <w:spacing w:after="0"/>
              <w:rPr>
                <w:sz w:val="1"/>
                <w:szCs w:val="1"/>
                <w:color w:val="auto"/>
              </w:rPr>
            </w:pPr>
          </w:p>
        </w:tc>
      </w:tr>
      <w:tr>
        <w:trPr>
          <w:trHeight w:val="196"/>
        </w:trPr>
        <w:tc>
          <w:tcPr>
            <w:tcW w:w="2700" w:type="dxa"/>
            <w:vAlign w:val="bottom"/>
            <w:gridSpan w:val="2"/>
          </w:tcPr>
          <w:p>
            <w:pPr>
              <w:spacing w:after="0"/>
              <w:rPr>
                <w:sz w:val="20"/>
                <w:szCs w:val="20"/>
                <w:color w:val="auto"/>
              </w:rPr>
            </w:pPr>
            <w:r>
              <w:rPr>
                <w:rFonts w:ascii="Arial" w:cs="Arial" w:eastAsia="Arial" w:hAnsi="Arial"/>
                <w:sz w:val="12"/>
                <w:szCs w:val="12"/>
                <w:color w:val="auto"/>
              </w:rPr>
              <w:t>Cancellation of preferred shares</w:t>
            </w:r>
          </w:p>
        </w:tc>
        <w:tc>
          <w:tcPr>
            <w:tcW w:w="700" w:type="dxa"/>
            <w:vAlign w:val="bottom"/>
          </w:tcPr>
          <w:p>
            <w:pPr>
              <w:jc w:val="right"/>
              <w:spacing w:after="0"/>
              <w:rPr>
                <w:sz w:val="20"/>
                <w:szCs w:val="20"/>
                <w:color w:val="auto"/>
              </w:rPr>
            </w:pPr>
            <w:r>
              <w:rPr>
                <w:rFonts w:ascii="Arial" w:cs="Arial" w:eastAsia="Arial" w:hAnsi="Arial"/>
                <w:sz w:val="12"/>
                <w:szCs w:val="12"/>
                <w:color w:val="auto"/>
              </w:rPr>
              <w:t>113,370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68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Deemed dividends from modifications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preferred shares</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(8,874)</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8"/>
        </w:trPr>
        <w:tc>
          <w:tcPr>
            <w:tcW w:w="2700" w:type="dxa"/>
            <w:vAlign w:val="bottom"/>
            <w:gridSpan w:val="2"/>
          </w:tcPr>
          <w:p>
            <w:pPr>
              <w:spacing w:after="0"/>
              <w:rPr>
                <w:sz w:val="20"/>
                <w:szCs w:val="20"/>
                <w:color w:val="auto"/>
              </w:rPr>
            </w:pPr>
            <w:r>
              <w:rPr>
                <w:rFonts w:ascii="Arial" w:cs="Arial" w:eastAsia="Arial" w:hAnsi="Arial"/>
                <w:sz w:val="12"/>
                <w:szCs w:val="12"/>
                <w:color w:val="auto"/>
              </w:rPr>
              <w:t>Accretion of preferred shares</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(6,529,630)</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(1,507,652)</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(1,755,640)</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(251,053)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Net loss attributable to ordinary</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shareholder of the Company</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(6,603,498)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(1,662,458)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(1,850,690)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(264,645)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tcPr>
          <w:p>
            <w:pPr>
              <w:spacing w:after="0" w:line="111" w:lineRule="exact"/>
              <w:rPr>
                <w:sz w:val="20"/>
                <w:szCs w:val="20"/>
                <w:color w:val="auto"/>
              </w:rPr>
            </w:pPr>
            <w:r>
              <w:rPr>
                <w:rFonts w:ascii="Arial" w:cs="Arial" w:eastAsia="Arial" w:hAnsi="Arial"/>
                <w:sz w:val="12"/>
                <w:szCs w:val="12"/>
                <w:b w:val="1"/>
                <w:bCs w:val="1"/>
                <w:color w:val="auto"/>
              </w:rPr>
              <w:t>Net loss per share attributable to ordinary</w:t>
            </w: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rPr>
              <w:t>shareholders: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(48.50)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(12.21)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(13.59)</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80" w:type="dxa"/>
            <w:vAlign w:val="bottom"/>
          </w:tcPr>
          <w:p>
            <w:pPr>
              <w:spacing w:after="0" w:line="111" w:lineRule="exact"/>
              <w:rPr>
                <w:sz w:val="20"/>
                <w:szCs w:val="20"/>
                <w:color w:val="auto"/>
              </w:rPr>
            </w:pPr>
            <w:r>
              <w:rPr>
                <w:rFonts w:ascii="Arial" w:cs="Arial" w:eastAsia="Arial" w:hAnsi="Arial"/>
                <w:sz w:val="12"/>
                <w:szCs w:val="12"/>
                <w:color w:val="auto"/>
              </w:rPr>
              <w:t>Weighted average number of ordinary shares</w:t>
            </w: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ind w:left="120"/>
              <w:spacing w:after="0"/>
              <w:rPr>
                <w:sz w:val="20"/>
                <w:szCs w:val="20"/>
                <w:color w:val="auto"/>
              </w:rPr>
            </w:pPr>
            <w:r>
              <w:rPr>
                <w:rFonts w:ascii="Arial" w:cs="Arial" w:eastAsia="Arial" w:hAnsi="Arial"/>
                <w:sz w:val="12"/>
                <w:szCs w:val="12"/>
                <w:color w:val="auto"/>
              </w:rPr>
              <w:t>used in calculating net loss per share: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136,159,402</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136,159,402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136,159,402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136,159,402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Pr>
          <w:p>
            <w:pPr>
              <w:spacing w:after="0" w:line="113" w:lineRule="exact"/>
              <w:rPr>
                <w:sz w:val="20"/>
                <w:szCs w:val="20"/>
                <w:color w:val="auto"/>
              </w:rPr>
            </w:pPr>
            <w:r>
              <w:rPr>
                <w:rFonts w:ascii="Arial" w:cs="Arial" w:eastAsia="Arial" w:hAnsi="Arial"/>
                <w:sz w:val="12"/>
                <w:szCs w:val="12"/>
                <w:b w:val="1"/>
                <w:bCs w:val="1"/>
                <w:color w:val="auto"/>
              </w:rPr>
              <w:t>Pro forma net loss per share attributable to</w:t>
            </w: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rPr>
              <w:t>ordinary shareholders:</w:t>
            </w:r>
            <w:r>
              <w:rPr>
                <w:rFonts w:ascii="Arial" w:cs="Arial" w:eastAsia="Arial" w:hAnsi="Arial"/>
                <w:sz w:val="16"/>
                <w:szCs w:val="16"/>
                <w:b w:val="1"/>
                <w:bCs w:val="1"/>
                <w:color w:val="auto"/>
                <w:vertAlign w:val="superscript"/>
              </w:rPr>
              <w:t>(1)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(unaudited)</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Borders>
              <w:top w:val="single" w:sz="8" w:color="CCEEFF"/>
            </w:tcBorders>
          </w:tcPr>
          <w:p>
            <w:pPr>
              <w:spacing w:after="0" w:line="129" w:lineRule="exact"/>
              <w:rPr>
                <w:sz w:val="20"/>
                <w:szCs w:val="20"/>
                <w:color w:val="auto"/>
              </w:rPr>
            </w:pPr>
            <w:r>
              <w:rPr>
                <w:rFonts w:ascii="Arial" w:cs="Arial" w:eastAsia="Arial" w:hAnsi="Arial"/>
                <w:sz w:val="12"/>
                <w:szCs w:val="12"/>
                <w:b w:val="1"/>
                <w:bCs w:val="1"/>
                <w:color w:val="auto"/>
              </w:rPr>
              <w:t>Pro forma weighted-average ordinary</w:t>
            </w:r>
          </w:p>
        </w:tc>
        <w:tc>
          <w:tcPr>
            <w:tcW w:w="7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rPr>
              <w:t>shares outstanding:</w:t>
            </w:r>
            <w:r>
              <w:rPr>
                <w:rFonts w:ascii="Arial" w:cs="Arial" w:eastAsia="Arial" w:hAnsi="Arial"/>
                <w:sz w:val="16"/>
                <w:szCs w:val="16"/>
                <w:b w:val="1"/>
                <w:bCs w:val="1"/>
                <w:color w:val="auto"/>
                <w:vertAlign w:val="superscript"/>
              </w:rPr>
              <w:t>(1)</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(unaudited)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941,449,847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941,449,847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2060" w:right="1458" w:hanging="608"/>
        <w:spacing w:after="0" w:line="256" w:lineRule="auto"/>
        <w:tabs>
          <w:tab w:leader="none" w:pos="2040" w:val="left"/>
        </w:tabs>
        <w:rPr>
          <w:sz w:val="20"/>
          <w:szCs w:val="20"/>
          <w:color w:val="auto"/>
        </w:rPr>
      </w:pPr>
      <w:r>
        <w:rPr>
          <w:rFonts w:ascii="Arial" w:cs="Arial" w:eastAsia="Arial" w:hAnsi="Arial"/>
          <w:sz w:val="11"/>
          <w:szCs w:val="11"/>
          <w:color w:val="auto"/>
        </w:rPr>
        <w:t>Note: (1)</w:t>
        <w:tab/>
        <w:t>A reconciliation of net loss attributable to ordinary shareholders in the combined and consolidated statements of comprehensive loss to the numerator for the computation of pro forma basic and diluted net loss per share is as follows:</w:t>
      </w:r>
    </w:p>
    <w:p>
      <w:pPr>
        <w:spacing w:after="0" w:line="102"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For the Years Ended</w:t>
            </w:r>
          </w:p>
        </w:tc>
      </w:tr>
      <w:tr>
        <w:trPr>
          <w:trHeight w:val="160"/>
        </w:trPr>
        <w:tc>
          <w:tcPr>
            <w:tcW w:w="4300" w:type="dxa"/>
            <w:vAlign w:val="bottom"/>
          </w:tcPr>
          <w:p>
            <w:pPr>
              <w:spacing w:after="0"/>
              <w:rPr>
                <w:sz w:val="13"/>
                <w:szCs w:val="13"/>
                <w:color w:val="auto"/>
              </w:rPr>
            </w:pPr>
          </w:p>
        </w:tc>
        <w:tc>
          <w:tcPr>
            <w:tcW w:w="18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1"/>
                <w:szCs w:val="11"/>
                <w:b w:val="1"/>
                <w:bCs w:val="1"/>
                <w:color w:val="auto"/>
              </w:rPr>
              <w:t>December 31, 2025</w:t>
            </w:r>
          </w:p>
        </w:tc>
      </w:tr>
      <w:tr>
        <w:trPr>
          <w:trHeight w:val="198"/>
        </w:trPr>
        <w:tc>
          <w:tcPr>
            <w:tcW w:w="4300" w:type="dxa"/>
            <w:vAlign w:val="bottom"/>
          </w:tcPr>
          <w:p>
            <w:pPr>
              <w:spacing w:after="0"/>
              <w:rPr>
                <w:sz w:val="17"/>
                <w:szCs w:val="17"/>
                <w:color w:val="auto"/>
              </w:rPr>
            </w:pPr>
          </w:p>
        </w:tc>
        <w:tc>
          <w:tcPr>
            <w:tcW w:w="720" w:type="dxa"/>
            <w:vAlign w:val="bottom"/>
          </w:tcPr>
          <w:p>
            <w:pPr>
              <w:jc w:val="right"/>
              <w:ind w:right="12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7"/>
                <w:szCs w:val="17"/>
                <w:color w:val="auto"/>
              </w:rPr>
            </w:pPr>
          </w:p>
        </w:tc>
        <w:tc>
          <w:tcPr>
            <w:tcW w:w="860" w:type="dxa"/>
            <w:vAlign w:val="bottom"/>
            <w:gridSpan w:val="2"/>
          </w:tcPr>
          <w:p>
            <w:pPr>
              <w:jc w:val="right"/>
              <w:ind w:right="165"/>
              <w:spacing w:after="0"/>
              <w:rPr>
                <w:sz w:val="20"/>
                <w:szCs w:val="20"/>
                <w:color w:val="auto"/>
              </w:rPr>
            </w:pPr>
            <w:r>
              <w:rPr>
                <w:rFonts w:ascii="Arial" w:cs="Arial" w:eastAsia="Arial" w:hAnsi="Arial"/>
                <w:sz w:val="11"/>
                <w:szCs w:val="11"/>
                <w:b w:val="1"/>
                <w:bCs w:val="1"/>
                <w:color w:val="auto"/>
              </w:rPr>
              <w:t>2025</w:t>
            </w:r>
          </w:p>
        </w:tc>
        <w:tc>
          <w:tcPr>
            <w:tcW w:w="120" w:type="dxa"/>
            <w:vAlign w:val="bottom"/>
          </w:tcPr>
          <w:p>
            <w:pPr>
              <w:spacing w:after="0"/>
              <w:rPr>
                <w:sz w:val="17"/>
                <w:szCs w:val="17"/>
                <w:color w:val="auto"/>
              </w:rPr>
            </w:pPr>
          </w:p>
        </w:tc>
      </w:tr>
      <w:tr>
        <w:trPr>
          <w:trHeight w:val="198"/>
        </w:trPr>
        <w:tc>
          <w:tcPr>
            <w:tcW w:w="430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US$</w:t>
            </w:r>
          </w:p>
        </w:tc>
      </w:tr>
      <w:tr>
        <w:trPr>
          <w:trHeight w:val="194"/>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 attributable to the ordinary shareholders</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(1,850,690)</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(264,645)</w:t>
            </w:r>
          </w:p>
        </w:tc>
      </w:tr>
      <w:tr>
        <w:trPr>
          <w:trHeight w:val="196"/>
        </w:trPr>
        <w:tc>
          <w:tcPr>
            <w:tcW w:w="4300" w:type="dxa"/>
            <w:vAlign w:val="bottom"/>
          </w:tcPr>
          <w:p>
            <w:pPr>
              <w:ind w:left="140"/>
              <w:spacing w:after="0"/>
              <w:rPr>
                <w:sz w:val="20"/>
                <w:szCs w:val="20"/>
                <w:color w:val="auto"/>
              </w:rPr>
            </w:pPr>
            <w:r>
              <w:rPr>
                <w:rFonts w:ascii="Arial" w:cs="Arial" w:eastAsia="Arial" w:hAnsi="Arial"/>
                <w:sz w:val="12"/>
                <w:szCs w:val="12"/>
                <w:color w:val="auto"/>
              </w:rPr>
              <w:t>Add: Accretion of the Company’s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1,755,640</w:t>
            </w:r>
          </w:p>
        </w:tc>
        <w:tc>
          <w:tcPr>
            <w:tcW w:w="980" w:type="dxa"/>
            <w:vAlign w:val="bottom"/>
            <w:gridSpan w:val="3"/>
          </w:tcPr>
          <w:p>
            <w:pPr>
              <w:jc w:val="right"/>
              <w:ind w:right="100"/>
              <w:spacing w:after="0"/>
              <w:rPr>
                <w:sz w:val="20"/>
                <w:szCs w:val="20"/>
                <w:color w:val="auto"/>
              </w:rPr>
            </w:pPr>
            <w:r>
              <w:rPr>
                <w:rFonts w:ascii="Arial" w:cs="Arial" w:eastAsia="Arial" w:hAnsi="Arial"/>
                <w:sz w:val="12"/>
                <w:szCs w:val="12"/>
                <w:color w:val="auto"/>
              </w:rPr>
              <w:t>251,053</w:t>
            </w:r>
          </w:p>
        </w:tc>
      </w:tr>
      <w:tr>
        <w:trPr>
          <w:trHeight w:val="22"/>
        </w:trPr>
        <w:tc>
          <w:tcPr>
            <w:tcW w:w="4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4300" w:type="dxa"/>
            <w:vAlign w:val="bottom"/>
            <w:shd w:val="clear" w:color="auto" w:fill="CCEEFF"/>
          </w:tcPr>
          <w:p>
            <w:pPr>
              <w:ind w:left="140"/>
              <w:spacing w:after="0" w:line="131" w:lineRule="exact"/>
              <w:rPr>
                <w:sz w:val="20"/>
                <w:szCs w:val="20"/>
                <w:color w:val="auto"/>
              </w:rPr>
            </w:pPr>
            <w:r>
              <w:rPr>
                <w:rFonts w:ascii="Arial" w:cs="Arial" w:eastAsia="Arial" w:hAnsi="Arial"/>
                <w:sz w:val="12"/>
                <w:szCs w:val="12"/>
                <w:color w:val="auto"/>
              </w:rPr>
              <w:t>Deduct: Share-based compensation expense that will be recognized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71"/>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immediately upon completion of this offering</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(207,524)</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(29,675)</w:t>
            </w:r>
          </w:p>
        </w:tc>
      </w:tr>
      <w:tr>
        <w:trPr>
          <w:trHeight w:val="131"/>
        </w:trPr>
        <w:tc>
          <w:tcPr>
            <w:tcW w:w="4300" w:type="dxa"/>
            <w:vAlign w:val="bottom"/>
          </w:tcPr>
          <w:p>
            <w:pPr>
              <w:ind w:left="140"/>
              <w:spacing w:after="0" w:line="131" w:lineRule="exact"/>
              <w:rPr>
                <w:sz w:val="20"/>
                <w:szCs w:val="20"/>
                <w:color w:val="auto"/>
              </w:rPr>
            </w:pPr>
            <w:r>
              <w:rPr>
                <w:rFonts w:ascii="Arial" w:cs="Arial" w:eastAsia="Arial" w:hAnsi="Arial"/>
                <w:sz w:val="12"/>
                <w:szCs w:val="12"/>
                <w:color w:val="auto"/>
              </w:rPr>
              <w:t>Deduct: Deemed dividend for options awarded to the Predecessor's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4300" w:type="dxa"/>
            <w:vAlign w:val="bottom"/>
          </w:tcPr>
          <w:p>
            <w:pPr>
              <w:ind w:left="280"/>
              <w:spacing w:after="0"/>
              <w:rPr>
                <w:sz w:val="20"/>
                <w:szCs w:val="20"/>
                <w:color w:val="auto"/>
              </w:rPr>
            </w:pPr>
            <w:r>
              <w:rPr>
                <w:rFonts w:ascii="Arial" w:cs="Arial" w:eastAsia="Arial" w:hAnsi="Arial"/>
                <w:sz w:val="12"/>
                <w:szCs w:val="12"/>
                <w:color w:val="auto"/>
              </w:rPr>
              <w:t>employees that will be recognized immediately upon completion of this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4300" w:type="dxa"/>
            <w:vAlign w:val="bottom"/>
          </w:tcPr>
          <w:p>
            <w:pPr>
              <w:ind w:left="280"/>
              <w:spacing w:after="0"/>
              <w:rPr>
                <w:sz w:val="20"/>
                <w:szCs w:val="20"/>
                <w:color w:val="auto"/>
              </w:rPr>
            </w:pPr>
            <w:r>
              <w:rPr>
                <w:rFonts w:ascii="Arial" w:cs="Arial" w:eastAsia="Arial" w:hAnsi="Arial"/>
                <w:sz w:val="12"/>
                <w:szCs w:val="12"/>
                <w:color w:val="auto"/>
              </w:rPr>
              <w:t>offering</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(76,651)</w:t>
            </w: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(10,961)</w:t>
            </w:r>
          </w:p>
        </w:tc>
      </w:tr>
      <w:tr>
        <w:trPr>
          <w:trHeight w:val="20"/>
        </w:trPr>
        <w:tc>
          <w:tcPr>
            <w:tcW w:w="4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Numerator used for pro forma basic and diluted net loss per share</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(379,225)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(54,228)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20" w:h="16838" w:orient="portrait"/>
          <w:cols w:equalWidth="0" w:num="1">
            <w:col w:w="9038"/>
          </w:cols>
          <w:pgMar w:left="1440" w:top="230" w:right="1440" w:bottom="1440" w:gutter="0" w:footer="0" w:header="0"/>
          <w:type w:val="continuous"/>
        </w:sectPr>
      </w:pPr>
    </w:p>
    <w:p>
      <w:pPr>
        <w:spacing w:after="0" w:line="207" w:lineRule="exact"/>
        <w:rPr>
          <w:sz w:val="20"/>
          <w:szCs w:val="20"/>
          <w:color w:val="auto"/>
        </w:rPr>
      </w:pPr>
    </w:p>
    <w:p>
      <w:pPr>
        <w:jc w:val="center"/>
        <w:ind w:right="-21"/>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22860</wp:posOffset>
            </wp:positionV>
            <wp:extent cx="395351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40" w:name="page41"/>
    <w:bookmarkEnd w:id="4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6080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59225" cy="6080760"/>
                    </a:xfrm>
                    <a:prstGeom prst="rect">
                      <a:avLst/>
                    </a:prstGeom>
                    <a:noFill/>
                  </pic:spPr>
                </pic:pic>
              </a:graphicData>
            </a:graphic>
          </wp:anchor>
        </w:drawing>
      </w:r>
    </w:p>
    <w:p>
      <w:pPr>
        <w:spacing w:after="0" w:line="234" w:lineRule="exact"/>
        <w:rPr>
          <w:sz w:val="20"/>
          <w:szCs w:val="20"/>
          <w:color w:val="auto"/>
        </w:rPr>
      </w:pPr>
    </w:p>
    <w:p>
      <w:pPr>
        <w:jc w:val="both"/>
        <w:ind w:left="1480" w:right="1458" w:firstLine="249"/>
        <w:spacing w:after="0" w:line="251" w:lineRule="auto"/>
        <w:rPr>
          <w:sz w:val="20"/>
          <w:szCs w:val="20"/>
          <w:color w:val="auto"/>
        </w:rPr>
      </w:pPr>
      <w:r>
        <w:rPr>
          <w:rFonts w:ascii="Arial" w:cs="Arial" w:eastAsia="Arial" w:hAnsi="Arial"/>
          <w:sz w:val="14"/>
          <w:szCs w:val="14"/>
          <w:color w:val="auto"/>
        </w:rPr>
        <w:t>A reconciliation of issued and outstanding ordinary shares presented in the combined and consolidated balance sheets to the denominator for the computation of pro forma basic and diluted net loss per share is as follows:</w:t>
      </w:r>
    </w:p>
    <w:p>
      <w:pPr>
        <w:spacing w:after="0" w:line="103"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5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As of</w:t>
            </w:r>
          </w:p>
        </w:tc>
      </w:tr>
      <w:tr>
        <w:trPr>
          <w:trHeight w:val="125"/>
        </w:trPr>
        <w:tc>
          <w:tcPr>
            <w:tcW w:w="512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December 31,</w:t>
            </w:r>
          </w:p>
        </w:tc>
      </w:tr>
      <w:tr>
        <w:trPr>
          <w:trHeight w:val="160"/>
        </w:trPr>
        <w:tc>
          <w:tcPr>
            <w:tcW w:w="5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2025</w:t>
            </w:r>
          </w:p>
        </w:tc>
      </w:tr>
      <w:tr>
        <w:trPr>
          <w:trHeight w:val="204"/>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The number of issued and outstanding ordinary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136,159,402</w:t>
            </w:r>
          </w:p>
        </w:tc>
      </w:tr>
      <w:tr>
        <w:trPr>
          <w:trHeight w:val="218"/>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Add: Automatic conversion or redesignation of preferred shares</w:t>
            </w:r>
            <w:r>
              <w:rPr>
                <w:rFonts w:ascii="Arial" w:cs="Arial" w:eastAsia="Arial" w:hAnsi="Arial"/>
                <w:sz w:val="16"/>
                <w:szCs w:val="16"/>
                <w:color w:val="auto"/>
                <w:vertAlign w:val="superscript"/>
              </w:rPr>
              <w:t>(i)</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805,290,445</w:t>
            </w:r>
          </w:p>
        </w:tc>
      </w:tr>
      <w:tr>
        <w:trPr>
          <w:trHeight w:val="117"/>
        </w:trPr>
        <w:tc>
          <w:tcPr>
            <w:tcW w:w="512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Denominator used for pro forma basic and diluted net loss per share</w:t>
            </w:r>
          </w:p>
        </w:tc>
        <w:tc>
          <w:tcPr>
            <w:tcW w:w="980" w:type="dxa"/>
            <w:vAlign w:val="bottom"/>
            <w:shd w:val="clear" w:color="auto" w:fill="CCEEFF"/>
          </w:tcPr>
          <w:p>
            <w:pPr>
              <w:spacing w:after="0"/>
              <w:rPr>
                <w:sz w:val="10"/>
                <w:szCs w:val="10"/>
                <w:color w:val="auto"/>
              </w:rPr>
            </w:pPr>
          </w:p>
        </w:tc>
      </w:tr>
      <w:tr>
        <w:trPr>
          <w:trHeight w:val="204"/>
        </w:trPr>
        <w:tc>
          <w:tcPr>
            <w:tcW w:w="51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computation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941,449,847</w:t>
            </w:r>
          </w:p>
        </w:tc>
      </w:tr>
    </w:tbl>
    <w:p>
      <w:pPr>
        <w:spacing w:after="0" w:line="27"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2060" w:right="1458" w:hanging="608"/>
        <w:spacing w:after="0" w:line="244" w:lineRule="auto"/>
        <w:tabs>
          <w:tab w:leader="none" w:pos="2040" w:val="left"/>
        </w:tabs>
        <w:rPr>
          <w:sz w:val="20"/>
          <w:szCs w:val="20"/>
          <w:color w:val="auto"/>
        </w:rPr>
      </w:pPr>
      <w:r>
        <w:rPr>
          <w:rFonts w:ascii="Arial" w:cs="Arial" w:eastAsia="Arial" w:hAnsi="Arial"/>
          <w:sz w:val="11"/>
          <w:szCs w:val="11"/>
          <w:color w:val="auto"/>
        </w:rPr>
        <w:t>Notes: (i)</w:t>
        <w:tab/>
        <w:t>Represents the automatic conversion or redesignation of 600,621,204 issued and outstanding preferred shares (excluding Series E-3 and Series F preferred shares) into 600,621,204 ordinary shares on a one-for-one basis, immediately prior to the completion of this offering, and the automatic conversion or redesignation of 43,099,293 Series E-3 preferred shares and 160,532,881 Series F preferred shares at a ratio of approximately 0.9984:1 and 0.9940:1, respectively, into an aggregate of 204,669,241 ordinary shares immediately prior to the completion of this offering.</w:t>
      </w:r>
    </w:p>
    <w:p>
      <w:pPr>
        <w:spacing w:after="0" w:line="29"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The following table presents our summary combined and consolidated balance sheets data as of the dates indicated.</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1"/>
                <w:szCs w:val="11"/>
                <w:b w:val="1"/>
                <w:bCs w:val="1"/>
                <w:color w:val="auto"/>
                <w:w w:val="99"/>
              </w:rPr>
              <w:t>As of December 31,</w:t>
            </w: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8"/>
        </w:trPr>
        <w:tc>
          <w:tcPr>
            <w:tcW w:w="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US$</w:t>
            </w:r>
          </w:p>
        </w:tc>
        <w:tc>
          <w:tcPr>
            <w:tcW w:w="80" w:type="dxa"/>
            <w:vAlign w:val="bottom"/>
            <w:gridSpan w:val="2"/>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(in thousands)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6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Summary Combined and Consolidated Balance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Sheets Data</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spacing w:after="0"/>
              <w:rPr>
                <w:sz w:val="20"/>
                <w:szCs w:val="20"/>
                <w:color w:val="auto"/>
              </w:rPr>
            </w:pPr>
            <w:r>
              <w:rPr>
                <w:rFonts w:ascii="Arial" w:cs="Arial" w:eastAsia="Arial" w:hAnsi="Arial"/>
                <w:sz w:val="14"/>
                <w:szCs w:val="14"/>
                <w:color w:val="auto"/>
              </w:rPr>
              <w:t>215,401</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178,862</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25,577</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1,147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Short-term investments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31,730</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4,537</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Account receivables, net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74,181</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60,753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Amounts due from related parties, current</w:t>
            </w:r>
          </w:p>
        </w:tc>
        <w:tc>
          <w:tcPr>
            <w:tcW w:w="860" w:type="dxa"/>
            <w:vAlign w:val="bottom"/>
          </w:tcPr>
          <w:p>
            <w:pPr>
              <w:jc w:val="right"/>
              <w:spacing w:after="0"/>
              <w:rPr>
                <w:sz w:val="20"/>
                <w:szCs w:val="20"/>
                <w:color w:val="auto"/>
              </w:rPr>
            </w:pPr>
            <w:r>
              <w:rPr>
                <w:rFonts w:ascii="Arial" w:cs="Arial" w:eastAsia="Arial" w:hAnsi="Arial"/>
                <w:sz w:val="14"/>
                <w:szCs w:val="14"/>
                <w:color w:val="auto"/>
              </w:rPr>
              <w:t>45,208</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84,626</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12,101</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109,154</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90,337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4"/>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143,935</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154,566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589,140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602,021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86,088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33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non-current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941,716</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833,385</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119,173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1,530,856</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1,435,406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205,261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Accounts payables</w:t>
            </w:r>
          </w:p>
        </w:tc>
        <w:tc>
          <w:tcPr>
            <w:tcW w:w="860" w:type="dxa"/>
            <w:vAlign w:val="bottom"/>
          </w:tcPr>
          <w:p>
            <w:pPr>
              <w:jc w:val="right"/>
              <w:spacing w:after="0"/>
              <w:rPr>
                <w:sz w:val="20"/>
                <w:szCs w:val="20"/>
                <w:color w:val="auto"/>
              </w:rPr>
            </w:pPr>
            <w:r>
              <w:rPr>
                <w:rFonts w:ascii="Arial" w:cs="Arial" w:eastAsia="Arial" w:hAnsi="Arial"/>
                <w:sz w:val="14"/>
                <w:szCs w:val="14"/>
                <w:color w:val="auto"/>
              </w:rPr>
              <w:t>56,663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60,800</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8,694</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Short-term loans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107,469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121,274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Contract liabilities and customer advance</w:t>
            </w:r>
          </w:p>
        </w:tc>
        <w:tc>
          <w:tcPr>
            <w:tcW w:w="860" w:type="dxa"/>
            <w:vAlign w:val="bottom"/>
          </w:tcPr>
          <w:p>
            <w:pPr>
              <w:jc w:val="right"/>
              <w:spacing w:after="0"/>
              <w:rPr>
                <w:sz w:val="20"/>
                <w:szCs w:val="20"/>
                <w:color w:val="auto"/>
              </w:rPr>
            </w:pPr>
            <w:r>
              <w:rPr>
                <w:rFonts w:ascii="Arial" w:cs="Arial" w:eastAsia="Arial" w:hAnsi="Arial"/>
                <w:sz w:val="14"/>
                <w:szCs w:val="14"/>
                <w:color w:val="auto"/>
              </w:rPr>
              <w:t>54,470</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51,170</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7,317</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Amounts due to related parties, non-current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2,004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340" w:type="dxa"/>
            <w:vAlign w:val="bottom"/>
            <w:gridSpan w:val="2"/>
          </w:tcPr>
          <w:p>
            <w:pPr>
              <w:ind w:left="60"/>
              <w:spacing w:after="0"/>
              <w:rPr>
                <w:sz w:val="20"/>
                <w:szCs w:val="20"/>
                <w:color w:val="auto"/>
              </w:rPr>
            </w:pPr>
            <w:r>
              <w:rPr>
                <w:rFonts w:ascii="Arial" w:cs="Arial" w:eastAsia="Arial" w:hAnsi="Arial"/>
                <w:sz w:val="14"/>
                <w:szCs w:val="14"/>
                <w:color w:val="auto"/>
              </w:rPr>
              <w:t>Operating lease liabilities, current portion</w:t>
            </w:r>
          </w:p>
        </w:tc>
        <w:tc>
          <w:tcPr>
            <w:tcW w:w="860" w:type="dxa"/>
            <w:vAlign w:val="bottom"/>
          </w:tcPr>
          <w:p>
            <w:pPr>
              <w:jc w:val="right"/>
              <w:spacing w:after="0"/>
              <w:rPr>
                <w:sz w:val="20"/>
                <w:szCs w:val="20"/>
                <w:color w:val="auto"/>
              </w:rPr>
            </w:pPr>
            <w:r>
              <w:rPr>
                <w:rFonts w:ascii="Arial" w:cs="Arial" w:eastAsia="Arial" w:hAnsi="Arial"/>
                <w:sz w:val="14"/>
                <w:szCs w:val="14"/>
                <w:color w:val="auto"/>
              </w:rPr>
              <w:t>8,259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4,823</w:t>
            </w: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690</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Accrued expenses and other current liabilities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194,535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3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current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424,829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428,038</w:t>
            </w: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61,209</w:t>
            </w:r>
          </w:p>
        </w:tc>
        <w:tc>
          <w:tcPr>
            <w:tcW w:w="2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non-current liabilities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304,851</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299,964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33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729,680</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728,002</w:t>
            </w: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104,103</w:t>
            </w:r>
          </w:p>
        </w:tc>
        <w:tc>
          <w:tcPr>
            <w:tcW w:w="20" w:type="dxa"/>
            <w:vAlign w:val="bottom"/>
          </w:tcPr>
          <w:p>
            <w:pPr>
              <w:spacing w:after="0"/>
              <w:rPr>
                <w:sz w:val="17"/>
                <w:szCs w:val="17"/>
                <w:color w:val="auto"/>
              </w:rPr>
            </w:pPr>
          </w:p>
        </w:tc>
      </w:tr>
      <w:tr>
        <w:trPr>
          <w:trHeight w:val="149"/>
        </w:trPr>
        <w:tc>
          <w:tcPr>
            <w:tcW w:w="6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mezzanine equity and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shareholders’ deficit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1,530,856</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1,435,406</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205,261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5"/>
        </w:trPr>
        <w:tc>
          <w:tcPr>
            <w:tcW w:w="6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96"/>
        </w:trPr>
        <w:tc>
          <w:tcPr>
            <w:tcW w:w="334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color w:val="auto"/>
              </w:rPr>
              <w:t>32</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41" w:name="page42"/>
    <w:bookmarkEnd w:id="4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909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59225" cy="5909310"/>
                    </a:xfrm>
                    <a:prstGeom prst="rect">
                      <a:avLst/>
                    </a:prstGeom>
                    <a:noFill/>
                  </pic:spPr>
                </pic:pic>
              </a:graphicData>
            </a:graphic>
          </wp:anchor>
        </w:drawing>
      </w:r>
    </w:p>
    <w:p>
      <w:pPr>
        <w:spacing w:after="0" w:line="234" w:lineRule="exact"/>
        <w:rPr>
          <w:sz w:val="20"/>
          <w:szCs w:val="20"/>
          <w:color w:val="auto"/>
        </w:rPr>
      </w:pPr>
    </w:p>
    <w:p>
      <w:pPr>
        <w:jc w:val="both"/>
        <w:ind w:left="1480" w:right="1458" w:firstLine="249"/>
        <w:spacing w:after="0" w:line="271" w:lineRule="auto"/>
        <w:rPr>
          <w:sz w:val="20"/>
          <w:szCs w:val="20"/>
          <w:color w:val="auto"/>
        </w:rPr>
      </w:pPr>
      <w:r>
        <w:rPr>
          <w:rFonts w:ascii="Arial" w:cs="Arial" w:eastAsia="Arial" w:hAnsi="Arial"/>
          <w:sz w:val="14"/>
          <w:szCs w:val="14"/>
          <w:color w:val="auto"/>
        </w:rPr>
        <w:t>The following table presents our summary combined and consolidated statements of cash flows data for the years indicated.</w:t>
      </w:r>
    </w:p>
    <w:p>
      <w:pPr>
        <w:spacing w:after="0" w:line="143" w:lineRule="exact"/>
        <w:rPr>
          <w:sz w:val="20"/>
          <w:szCs w:val="20"/>
          <w:color w:val="auto"/>
        </w:rPr>
      </w:pPr>
    </w:p>
    <w:tbl>
      <w:tblPr>
        <w:tblLayout w:type="fixed"/>
        <w:tblInd w:w="14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685"/>
              <w:spacing w:after="0"/>
              <w:rPr>
                <w:sz w:val="20"/>
                <w:szCs w:val="20"/>
                <w:color w:val="auto"/>
              </w:rPr>
            </w:pPr>
            <w:r>
              <w:rPr>
                <w:rFonts w:ascii="Arial" w:cs="Arial" w:eastAsia="Arial" w:hAnsi="Arial"/>
                <w:sz w:val="11"/>
                <w:szCs w:val="11"/>
                <w:b w:val="1"/>
                <w:bCs w:val="1"/>
                <w:color w:val="auto"/>
                <w:w w:val="99"/>
              </w:rPr>
              <w:t>For the Year Ended December 31,</w:t>
            </w:r>
          </w:p>
        </w:tc>
      </w:tr>
      <w:tr>
        <w:trPr>
          <w:trHeight w:val="208"/>
        </w:trPr>
        <w:tc>
          <w:tcPr>
            <w:tcW w:w="286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1"/>
                <w:szCs w:val="11"/>
                <w:b w:val="1"/>
                <w:bCs w:val="1"/>
                <w:color w:val="auto"/>
              </w:rPr>
              <w:t>2023</w:t>
            </w:r>
          </w:p>
        </w:tc>
        <w:tc>
          <w:tcPr>
            <w:tcW w:w="800" w:type="dxa"/>
            <w:vAlign w:val="bottom"/>
            <w:gridSpan w:val="2"/>
          </w:tcPr>
          <w:p>
            <w:pPr>
              <w:jc w:val="right"/>
              <w:ind w:right="18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3"/>
          </w:tcPr>
          <w:p>
            <w:pPr>
              <w:jc w:val="right"/>
              <w:ind w:right="625"/>
              <w:spacing w:after="0"/>
              <w:rPr>
                <w:sz w:val="20"/>
                <w:szCs w:val="20"/>
                <w:color w:val="auto"/>
              </w:rPr>
            </w:pPr>
            <w:r>
              <w:rPr>
                <w:rFonts w:ascii="Arial" w:cs="Arial" w:eastAsia="Arial" w:hAnsi="Arial"/>
                <w:sz w:val="11"/>
                <w:szCs w:val="11"/>
                <w:b w:val="1"/>
                <w:bCs w:val="1"/>
                <w:color w:val="auto"/>
                <w:w w:val="97"/>
              </w:rPr>
              <w:t>2025</w:t>
            </w:r>
          </w:p>
        </w:tc>
      </w:tr>
      <w:tr>
        <w:trPr>
          <w:trHeight w:val="198"/>
        </w:trPr>
        <w:tc>
          <w:tcPr>
            <w:tcW w:w="28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RMB</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rPr>
              <w:t>US$</w:t>
            </w:r>
          </w:p>
        </w:tc>
      </w:tr>
      <w:tr>
        <w:trPr>
          <w:trHeight w:val="202"/>
        </w:trPr>
        <w:tc>
          <w:tcPr>
            <w:tcW w:w="2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245"/>
              <w:spacing w:after="0"/>
              <w:rPr>
                <w:sz w:val="20"/>
                <w:szCs w:val="20"/>
                <w:color w:val="auto"/>
              </w:rPr>
            </w:pPr>
            <w:r>
              <w:rPr>
                <w:rFonts w:ascii="Arial" w:cs="Arial" w:eastAsia="Arial" w:hAnsi="Arial"/>
                <w:sz w:val="11"/>
                <w:szCs w:val="11"/>
                <w:b w:val="1"/>
                <w:bCs w:val="1"/>
                <w:color w:val="auto"/>
              </w:rPr>
              <w:t>(in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Summary Combined and Consolidated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05"/>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Statement of Cash Flows Data:</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740" w:type="dxa"/>
            <w:vAlign w:val="bottom"/>
          </w:tcPr>
          <w:p>
            <w:pPr>
              <w:jc w:val="right"/>
              <w:spacing w:after="0"/>
              <w:rPr>
                <w:sz w:val="20"/>
                <w:szCs w:val="20"/>
                <w:color w:val="auto"/>
              </w:rPr>
            </w:pPr>
            <w:r>
              <w:rPr>
                <w:rFonts w:ascii="Arial" w:cs="Arial" w:eastAsia="Arial" w:hAnsi="Arial"/>
                <w:sz w:val="14"/>
                <w:szCs w:val="14"/>
                <w:color w:val="auto"/>
              </w:rPr>
              <w:t>(163,412)</w:t>
            </w:r>
          </w:p>
        </w:tc>
        <w:tc>
          <w:tcPr>
            <w:tcW w:w="800" w:type="dxa"/>
            <w:vAlign w:val="bottom"/>
            <w:gridSpan w:val="2"/>
          </w:tcPr>
          <w:p>
            <w:pPr>
              <w:jc w:val="right"/>
              <w:ind w:right="5"/>
              <w:spacing w:after="0"/>
              <w:rPr>
                <w:sz w:val="20"/>
                <w:szCs w:val="20"/>
                <w:color w:val="auto"/>
              </w:rPr>
            </w:pPr>
            <w:r>
              <w:rPr>
                <w:rFonts w:ascii="Arial" w:cs="Arial" w:eastAsia="Arial" w:hAnsi="Arial"/>
                <w:sz w:val="14"/>
                <w:szCs w:val="14"/>
                <w:color w:val="auto"/>
              </w:rPr>
              <w:t>(212,517)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(90,370)</w:t>
            </w:r>
          </w:p>
        </w:tc>
        <w:tc>
          <w:tcPr>
            <w:tcW w:w="940" w:type="dxa"/>
            <w:vAlign w:val="bottom"/>
            <w:gridSpan w:val="3"/>
          </w:tcPr>
          <w:p>
            <w:pPr>
              <w:jc w:val="right"/>
              <w:ind w:right="5"/>
              <w:spacing w:after="0"/>
              <w:rPr>
                <w:sz w:val="20"/>
                <w:szCs w:val="20"/>
                <w:color w:val="auto"/>
              </w:rPr>
            </w:pPr>
            <w:r>
              <w:rPr>
                <w:rFonts w:ascii="Arial" w:cs="Arial" w:eastAsia="Arial" w:hAnsi="Arial"/>
                <w:sz w:val="14"/>
                <w:szCs w:val="14"/>
                <w:color w:val="auto"/>
              </w:rPr>
              <w:t>(12,926)</w:t>
            </w:r>
          </w:p>
        </w:tc>
      </w:tr>
      <w:tr>
        <w:trPr>
          <w:trHeight w:val="155"/>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in)/provided by investing</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05"/>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(129,834)</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74,481</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39,776</w:t>
            </w:r>
          </w:p>
        </w:tc>
        <w:tc>
          <w:tcPr>
            <w:tcW w:w="940" w:type="dxa"/>
            <w:vAlign w:val="bottom"/>
            <w:gridSpan w:val="3"/>
            <w:shd w:val="clear" w:color="auto" w:fill="CCEEFF"/>
          </w:tcPr>
          <w:p>
            <w:pPr>
              <w:jc w:val="right"/>
              <w:ind w:right="45"/>
              <w:spacing w:after="0"/>
              <w:rPr>
                <w:sz w:val="20"/>
                <w:szCs w:val="20"/>
                <w:color w:val="auto"/>
              </w:rPr>
            </w:pPr>
            <w:r>
              <w:rPr>
                <w:rFonts w:ascii="Arial" w:cs="Arial" w:eastAsia="Arial" w:hAnsi="Arial"/>
                <w:sz w:val="14"/>
                <w:szCs w:val="14"/>
                <w:color w:val="auto"/>
              </w:rPr>
              <w:t>5,690</w:t>
            </w:r>
          </w:p>
        </w:tc>
      </w:tr>
      <w:tr>
        <w:trPr>
          <w:trHeight w:val="200"/>
        </w:trPr>
        <w:tc>
          <w:tcPr>
            <w:tcW w:w="286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428,092</w:t>
            </w:r>
          </w:p>
        </w:tc>
        <w:tc>
          <w:tcPr>
            <w:tcW w:w="800" w:type="dxa"/>
            <w:vAlign w:val="bottom"/>
            <w:gridSpan w:val="2"/>
          </w:tcPr>
          <w:p>
            <w:pPr>
              <w:jc w:val="right"/>
              <w:ind w:right="45"/>
              <w:spacing w:after="0"/>
              <w:rPr>
                <w:sz w:val="20"/>
                <w:szCs w:val="20"/>
                <w:color w:val="auto"/>
              </w:rPr>
            </w:pPr>
            <w:r>
              <w:rPr>
                <w:rFonts w:ascii="Arial" w:cs="Arial" w:eastAsia="Arial" w:hAnsi="Arial"/>
                <w:sz w:val="14"/>
                <w:szCs w:val="14"/>
                <w:color w:val="auto"/>
              </w:rPr>
              <w:t>51,726</w:t>
            </w:r>
          </w:p>
        </w:tc>
        <w:tc>
          <w:tcPr>
            <w:tcW w:w="760" w:type="dxa"/>
            <w:vAlign w:val="bottom"/>
            <w:gridSpan w:val="2"/>
          </w:tcPr>
          <w:p>
            <w:pPr>
              <w:jc w:val="right"/>
              <w:ind w:right="5"/>
              <w:spacing w:after="0"/>
              <w:rPr>
                <w:sz w:val="20"/>
                <w:szCs w:val="20"/>
                <w:color w:val="auto"/>
              </w:rPr>
            </w:pPr>
            <w:r>
              <w:rPr>
                <w:rFonts w:ascii="Arial" w:cs="Arial" w:eastAsia="Arial" w:hAnsi="Arial"/>
                <w:sz w:val="14"/>
                <w:szCs w:val="14"/>
                <w:color w:val="auto"/>
              </w:rPr>
              <w:t>15,635</w:t>
            </w:r>
          </w:p>
        </w:tc>
        <w:tc>
          <w:tcPr>
            <w:tcW w:w="940" w:type="dxa"/>
            <w:vAlign w:val="bottom"/>
            <w:gridSpan w:val="3"/>
          </w:tcPr>
          <w:p>
            <w:pPr>
              <w:jc w:val="right"/>
              <w:ind w:right="45"/>
              <w:spacing w:after="0"/>
              <w:rPr>
                <w:sz w:val="20"/>
                <w:szCs w:val="20"/>
                <w:color w:val="auto"/>
              </w:rPr>
            </w:pPr>
            <w:r>
              <w:rPr>
                <w:rFonts w:ascii="Arial" w:cs="Arial" w:eastAsia="Arial" w:hAnsi="Arial"/>
                <w:sz w:val="14"/>
                <w:szCs w:val="14"/>
                <w:color w:val="auto"/>
              </w:rPr>
              <w:t>2,237</w:t>
            </w:r>
          </w:p>
        </w:tc>
      </w:tr>
      <w:tr>
        <w:trPr>
          <w:trHeight w:val="155"/>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change in cash, cash equivalents and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05"/>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133,655</w:t>
            </w: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(85,145)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(36,653)</w:t>
            </w:r>
          </w:p>
        </w:tc>
        <w:tc>
          <w:tcPr>
            <w:tcW w:w="940" w:type="dxa"/>
            <w:vAlign w:val="bottom"/>
            <w:gridSpan w:val="3"/>
            <w:shd w:val="clear" w:color="auto" w:fill="CCEEFF"/>
          </w:tcPr>
          <w:p>
            <w:pPr>
              <w:jc w:val="right"/>
              <w:ind w:right="5"/>
              <w:spacing w:after="0"/>
              <w:rPr>
                <w:sz w:val="20"/>
                <w:szCs w:val="20"/>
                <w:color w:val="auto"/>
              </w:rPr>
            </w:pPr>
            <w:r>
              <w:rPr>
                <w:rFonts w:ascii="Arial" w:cs="Arial" w:eastAsia="Arial" w:hAnsi="Arial"/>
                <w:sz w:val="14"/>
                <w:szCs w:val="14"/>
                <w:color w:val="auto"/>
              </w:rPr>
              <w:t>(5,241)</w:t>
            </w:r>
          </w:p>
        </w:tc>
      </w:tr>
      <w:tr>
        <w:trPr>
          <w:trHeight w:val="137"/>
        </w:trPr>
        <w:tc>
          <w:tcPr>
            <w:tcW w:w="2860" w:type="dxa"/>
            <w:vAlign w:val="bottom"/>
          </w:tcPr>
          <w:p>
            <w:pPr>
              <w:spacing w:after="0" w:line="137" w:lineRule="exact"/>
              <w:rPr>
                <w:sz w:val="20"/>
                <w:szCs w:val="20"/>
                <w:color w:val="auto"/>
              </w:rPr>
            </w:pPr>
            <w:r>
              <w:rPr>
                <w:rFonts w:ascii="Arial" w:cs="Arial" w:eastAsia="Arial" w:hAnsi="Arial"/>
                <w:sz w:val="14"/>
                <w:szCs w:val="14"/>
                <w:color w:val="auto"/>
              </w:rPr>
              <w:t>Cash, cash equivalents and restricted cash at</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7"/>
        </w:trPr>
        <w:tc>
          <w:tcPr>
            <w:tcW w:w="2860" w:type="dxa"/>
            <w:vAlign w:val="bottom"/>
          </w:tcPr>
          <w:p>
            <w:pPr>
              <w:ind w:left="140"/>
              <w:spacing w:after="0"/>
              <w:rPr>
                <w:sz w:val="20"/>
                <w:szCs w:val="20"/>
                <w:color w:val="auto"/>
              </w:rPr>
            </w:pPr>
            <w:r>
              <w:rPr>
                <w:rFonts w:ascii="Arial" w:cs="Arial" w:eastAsia="Arial" w:hAnsi="Arial"/>
                <w:sz w:val="14"/>
                <w:szCs w:val="14"/>
                <w:color w:val="auto"/>
              </w:rPr>
              <w:t>the beginning of the year</w:t>
            </w: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168,152</w:t>
            </w:r>
          </w:p>
        </w:tc>
        <w:tc>
          <w:tcPr>
            <w:tcW w:w="800" w:type="dxa"/>
            <w:vAlign w:val="bottom"/>
            <w:gridSpan w:val="2"/>
          </w:tcPr>
          <w:p>
            <w:pPr>
              <w:jc w:val="right"/>
              <w:ind w:right="45"/>
              <w:spacing w:after="0"/>
              <w:rPr>
                <w:sz w:val="20"/>
                <w:szCs w:val="20"/>
                <w:color w:val="auto"/>
              </w:rPr>
            </w:pPr>
            <w:r>
              <w:rPr>
                <w:rFonts w:ascii="Arial" w:cs="Arial" w:eastAsia="Arial" w:hAnsi="Arial"/>
                <w:sz w:val="14"/>
                <w:szCs w:val="14"/>
                <w:color w:val="auto"/>
              </w:rPr>
              <w:t>301,807</w:t>
            </w:r>
          </w:p>
        </w:tc>
        <w:tc>
          <w:tcPr>
            <w:tcW w:w="760" w:type="dxa"/>
            <w:vAlign w:val="bottom"/>
            <w:gridSpan w:val="2"/>
          </w:tcPr>
          <w:p>
            <w:pPr>
              <w:jc w:val="right"/>
              <w:ind w:right="5"/>
              <w:spacing w:after="0"/>
              <w:rPr>
                <w:sz w:val="20"/>
                <w:szCs w:val="20"/>
                <w:color w:val="auto"/>
              </w:rPr>
            </w:pPr>
            <w:r>
              <w:rPr>
                <w:rFonts w:ascii="Arial" w:cs="Arial" w:eastAsia="Arial" w:hAnsi="Arial"/>
                <w:sz w:val="14"/>
                <w:szCs w:val="14"/>
                <w:color w:val="auto"/>
              </w:rPr>
              <w:t>216,662</w:t>
            </w:r>
          </w:p>
        </w:tc>
        <w:tc>
          <w:tcPr>
            <w:tcW w:w="940" w:type="dxa"/>
            <w:vAlign w:val="bottom"/>
            <w:gridSpan w:val="3"/>
          </w:tcPr>
          <w:p>
            <w:pPr>
              <w:jc w:val="right"/>
              <w:ind w:right="45"/>
              <w:spacing w:after="0"/>
              <w:rPr>
                <w:sz w:val="20"/>
                <w:szCs w:val="20"/>
                <w:color w:val="auto"/>
              </w:rPr>
            </w:pPr>
            <w:r>
              <w:rPr>
                <w:rFonts w:ascii="Arial" w:cs="Arial" w:eastAsia="Arial" w:hAnsi="Arial"/>
                <w:sz w:val="14"/>
                <w:szCs w:val="14"/>
                <w:color w:val="auto"/>
              </w:rPr>
              <w:t>30,982</w:t>
            </w:r>
          </w:p>
        </w:tc>
      </w:tr>
      <w:tr>
        <w:trPr>
          <w:trHeight w:val="155"/>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 at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05"/>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end of the year</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301,807</w:t>
            </w:r>
          </w:p>
        </w:tc>
        <w:tc>
          <w:tcPr>
            <w:tcW w:w="80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216,662</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180,009</w:t>
            </w:r>
          </w:p>
        </w:tc>
        <w:tc>
          <w:tcPr>
            <w:tcW w:w="940" w:type="dxa"/>
            <w:vAlign w:val="bottom"/>
            <w:gridSpan w:val="3"/>
            <w:shd w:val="clear" w:color="auto" w:fill="CCEEFF"/>
          </w:tcPr>
          <w:p>
            <w:pPr>
              <w:jc w:val="right"/>
              <w:ind w:right="45"/>
              <w:spacing w:after="0"/>
              <w:rPr>
                <w:sz w:val="20"/>
                <w:szCs w:val="20"/>
                <w:color w:val="auto"/>
              </w:rPr>
            </w:pPr>
            <w:r>
              <w:rPr>
                <w:rFonts w:ascii="Arial" w:cs="Arial" w:eastAsia="Arial" w:hAnsi="Arial"/>
                <w:sz w:val="14"/>
                <w:szCs w:val="14"/>
                <w:color w:val="auto"/>
              </w:rPr>
              <w:t>25,741</w:t>
            </w:r>
          </w:p>
        </w:tc>
      </w:tr>
    </w:tbl>
    <w:p>
      <w:pPr>
        <w:spacing w:after="0" w:line="147"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Non-GAAP Financial Measure</w:t>
      </w:r>
    </w:p>
    <w:p>
      <w:pPr>
        <w:spacing w:after="0" w:line="109"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We use adjusted loss for the years,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69"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87" w:lineRule="exact"/>
        <w:rPr>
          <w:sz w:val="20"/>
          <w:szCs w:val="20"/>
          <w:color w:val="auto"/>
        </w:rPr>
      </w:pPr>
    </w:p>
    <w:p>
      <w:pPr>
        <w:jc w:val="both"/>
        <w:ind w:left="1480" w:right="1458" w:firstLine="249"/>
        <w:spacing w:after="0" w:line="245" w:lineRule="auto"/>
        <w:rPr>
          <w:sz w:val="20"/>
          <w:szCs w:val="20"/>
          <w:color w:val="auto"/>
        </w:rPr>
      </w:pPr>
      <w:r>
        <w:rPr>
          <w:rFonts w:ascii="Arial" w:cs="Arial" w:eastAsia="Arial" w:hAnsi="Arial"/>
          <w:sz w:val="14"/>
          <w:szCs w:val="14"/>
          <w:color w:val="auto"/>
        </w:rPr>
        <w:t>Adjusted loss for the year represents net loss for the year excluding share-based compensation expenses and intangible asset amortization, which we do not consider to be indicative of our core operating performance. The table below sets forth a reconciliation of our net loss for the year to adjusted net loss for the years indicated.</w:t>
      </w:r>
    </w:p>
    <w:p>
      <w:pPr>
        <w:spacing w:after="0" w:line="171" w:lineRule="exact"/>
        <w:rPr>
          <w:sz w:val="20"/>
          <w:szCs w:val="20"/>
          <w:color w:val="auto"/>
        </w:rPr>
      </w:pPr>
    </w:p>
    <w:tbl>
      <w:tblPr>
        <w:tblLayout w:type="fixed"/>
        <w:tblInd w:w="148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678"/>
              <w:spacing w:after="0"/>
              <w:rPr>
                <w:sz w:val="20"/>
                <w:szCs w:val="20"/>
                <w:color w:val="auto"/>
              </w:rPr>
            </w:pPr>
            <w:r>
              <w:rPr>
                <w:rFonts w:ascii="Arial" w:cs="Arial" w:eastAsia="Arial" w:hAnsi="Arial"/>
                <w:sz w:val="11"/>
                <w:szCs w:val="11"/>
                <w:b w:val="1"/>
                <w:bCs w:val="1"/>
                <w:color w:val="auto"/>
                <w:w w:val="99"/>
              </w:rPr>
              <w:t>For the Year Ended December 31,</w:t>
            </w:r>
          </w:p>
        </w:tc>
      </w:tr>
      <w:tr>
        <w:trPr>
          <w:trHeight w:val="198"/>
        </w:trPr>
        <w:tc>
          <w:tcPr>
            <w:tcW w:w="2860" w:type="dxa"/>
            <w:vAlign w:val="bottom"/>
          </w:tcPr>
          <w:p>
            <w:pPr>
              <w:spacing w:after="0"/>
              <w:rPr>
                <w:sz w:val="17"/>
                <w:szCs w:val="17"/>
                <w:color w:val="auto"/>
              </w:rPr>
            </w:pPr>
          </w:p>
        </w:tc>
        <w:tc>
          <w:tcPr>
            <w:tcW w:w="740" w:type="dxa"/>
            <w:vAlign w:val="bottom"/>
          </w:tcPr>
          <w:p>
            <w:pPr>
              <w:jc w:val="right"/>
              <w:ind w:right="175"/>
              <w:spacing w:after="0"/>
              <w:rPr>
                <w:sz w:val="20"/>
                <w:szCs w:val="20"/>
                <w:color w:val="auto"/>
              </w:rPr>
            </w:pPr>
            <w:r>
              <w:rPr>
                <w:rFonts w:ascii="Arial" w:cs="Arial" w:eastAsia="Arial" w:hAnsi="Arial"/>
                <w:sz w:val="11"/>
                <w:szCs w:val="11"/>
                <w:b w:val="1"/>
                <w:bCs w:val="1"/>
                <w:color w:val="auto"/>
              </w:rPr>
              <w:t>2023</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3"/>
          </w:tcPr>
          <w:p>
            <w:pPr>
              <w:jc w:val="right"/>
              <w:ind w:right="618"/>
              <w:spacing w:after="0"/>
              <w:rPr>
                <w:sz w:val="20"/>
                <w:szCs w:val="20"/>
                <w:color w:val="auto"/>
              </w:rPr>
            </w:pPr>
            <w:r>
              <w:rPr>
                <w:rFonts w:ascii="Arial" w:cs="Arial" w:eastAsia="Arial" w:hAnsi="Arial"/>
                <w:sz w:val="11"/>
                <w:szCs w:val="11"/>
                <w:b w:val="1"/>
                <w:bCs w:val="1"/>
                <w:color w:val="auto"/>
                <w:w w:val="97"/>
              </w:rPr>
              <w:t>2025</w:t>
            </w:r>
          </w:p>
        </w:tc>
      </w:tr>
      <w:tr>
        <w:trPr>
          <w:trHeight w:val="208"/>
        </w:trPr>
        <w:tc>
          <w:tcPr>
            <w:tcW w:w="28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RMB</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1"/>
                <w:szCs w:val="11"/>
                <w:b w:val="1"/>
                <w:bCs w:val="1"/>
                <w:color w:val="auto"/>
              </w:rPr>
              <w:t>US$</w:t>
            </w:r>
          </w:p>
        </w:tc>
      </w:tr>
      <w:tr>
        <w:trPr>
          <w:trHeight w:val="198"/>
        </w:trPr>
        <w:tc>
          <w:tcPr>
            <w:tcW w:w="2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238"/>
              <w:spacing w:after="0"/>
              <w:rPr>
                <w:sz w:val="20"/>
                <w:szCs w:val="20"/>
                <w:color w:val="auto"/>
              </w:rPr>
            </w:pPr>
            <w:r>
              <w:rPr>
                <w:rFonts w:ascii="Arial" w:cs="Arial" w:eastAsia="Arial" w:hAnsi="Arial"/>
                <w:sz w:val="11"/>
                <w:szCs w:val="11"/>
                <w:b w:val="1"/>
                <w:bCs w:val="1"/>
                <w:color w:val="auto"/>
              </w:rPr>
              <w:t>(in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2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(GAAP)</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(186,580)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(157,122)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(94,559)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(13,522)</w:t>
            </w:r>
          </w:p>
        </w:tc>
      </w:tr>
      <w:tr>
        <w:trPr>
          <w:trHeight w:val="209"/>
        </w:trPr>
        <w:tc>
          <w:tcPr>
            <w:tcW w:w="28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38"/>
              <w:spacing w:after="0"/>
              <w:rPr>
                <w:sz w:val="20"/>
                <w:szCs w:val="20"/>
                <w:color w:val="auto"/>
              </w:rPr>
            </w:pPr>
            <w:r>
              <w:rPr>
                <w:rFonts w:ascii="Arial" w:cs="Arial" w:eastAsia="Arial" w:hAnsi="Arial"/>
                <w:sz w:val="14"/>
                <w:szCs w:val="14"/>
                <w:color w:val="auto"/>
              </w:rPr>
              <w:t>—</w:t>
            </w:r>
          </w:p>
        </w:tc>
      </w:tr>
      <w:tr>
        <w:trPr>
          <w:trHeight w:val="227"/>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 amortization</w:t>
            </w:r>
            <w:r>
              <w:rPr>
                <w:rFonts w:ascii="Arial" w:cs="Arial" w:eastAsia="Arial" w:hAnsi="Arial"/>
                <w:sz w:val="16"/>
                <w:szCs w:val="16"/>
                <w:color w:val="auto"/>
                <w:vertAlign w:val="superscript"/>
              </w:rPr>
              <w:t>(1)</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27,130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22,330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23,179</w:t>
            </w:r>
          </w:p>
        </w:tc>
        <w:tc>
          <w:tcPr>
            <w:tcW w:w="940" w:type="dxa"/>
            <w:vAlign w:val="bottom"/>
            <w:gridSpan w:val="3"/>
            <w:shd w:val="clear" w:color="auto" w:fill="CCEEFF"/>
          </w:tcPr>
          <w:p>
            <w:pPr>
              <w:jc w:val="right"/>
              <w:ind w:right="38"/>
              <w:spacing w:after="0"/>
              <w:rPr>
                <w:sz w:val="20"/>
                <w:szCs w:val="20"/>
                <w:color w:val="auto"/>
              </w:rPr>
            </w:pPr>
            <w:r>
              <w:rPr>
                <w:rFonts w:ascii="Arial" w:cs="Arial" w:eastAsia="Arial" w:hAnsi="Arial"/>
                <w:sz w:val="14"/>
                <w:szCs w:val="14"/>
                <w:color w:val="auto"/>
              </w:rPr>
              <w:t>3,315</w:t>
            </w:r>
          </w:p>
        </w:tc>
      </w:tr>
      <w:tr>
        <w:trPr>
          <w:trHeight w:val="206"/>
        </w:trPr>
        <w:tc>
          <w:tcPr>
            <w:tcW w:w="2860" w:type="dxa"/>
            <w:vAlign w:val="bottom"/>
          </w:tcPr>
          <w:p>
            <w:pPr>
              <w:spacing w:after="0"/>
              <w:rPr>
                <w:sz w:val="20"/>
                <w:szCs w:val="20"/>
                <w:color w:val="auto"/>
              </w:rPr>
            </w:pPr>
            <w:r>
              <w:rPr>
                <w:rFonts w:ascii="Arial" w:cs="Arial" w:eastAsia="Arial" w:hAnsi="Arial"/>
                <w:sz w:val="14"/>
                <w:szCs w:val="14"/>
                <w:b w:val="1"/>
                <w:bCs w:val="1"/>
                <w:color w:val="auto"/>
              </w:rPr>
              <w:t>Adjusted net loss (non-GAAP)</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(159,450)</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(134,792)</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(71,380)</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(10,207)</w:t>
            </w:r>
          </w:p>
        </w:tc>
      </w:tr>
    </w:tbl>
    <w:p>
      <w:pPr>
        <w:spacing w:after="0" w:line="3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ind w:left="1480"/>
        <w:spacing w:after="0"/>
        <w:tabs>
          <w:tab w:leader="none" w:pos="2020" w:val="left"/>
        </w:tabs>
        <w:rPr>
          <w:sz w:val="20"/>
          <w:szCs w:val="20"/>
          <w:color w:val="auto"/>
        </w:rPr>
      </w:pPr>
      <w:r>
        <w:rPr>
          <w:rFonts w:ascii="Arial" w:cs="Arial" w:eastAsia="Arial" w:hAnsi="Arial"/>
          <w:sz w:val="11"/>
          <w:szCs w:val="11"/>
          <w:color w:val="auto"/>
        </w:rPr>
        <w:t>Note: (1)</w:t>
        <w:tab/>
        <w:t>This represents amortization of intangible assets resulting from business combinations.</w:t>
      </w:r>
    </w:p>
    <w:p>
      <w:pPr>
        <w:spacing w:after="0" w:line="28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42" w:name="page43"/>
    <w:bookmarkEnd w:id="4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6252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59225" cy="625221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VIE Consolidating Schedules</w:t>
      </w:r>
    </w:p>
    <w:p>
      <w:pPr>
        <w:spacing w:after="0" w:line="109" w:lineRule="exact"/>
        <w:rPr>
          <w:sz w:val="20"/>
          <w:szCs w:val="20"/>
          <w:color w:val="auto"/>
        </w:rPr>
      </w:pPr>
    </w:p>
    <w:p>
      <w:pPr>
        <w:jc w:val="both"/>
        <w:ind w:left="1480" w:right="1458" w:firstLine="249"/>
        <w:spacing w:after="0" w:line="237" w:lineRule="auto"/>
        <w:rPr>
          <w:sz w:val="20"/>
          <w:szCs w:val="20"/>
          <w:color w:val="auto"/>
        </w:rPr>
      </w:pPr>
      <w:r>
        <w:rPr>
          <w:rFonts w:ascii="Arial" w:cs="Arial" w:eastAsia="Arial" w:hAnsi="Arial"/>
          <w:sz w:val="14"/>
          <w:szCs w:val="14"/>
          <w:color w:val="auto"/>
        </w:rPr>
        <w:t>The following tables set forth the summary consolidated balance sheets data as of December 31, 2024 and 2025 of (i) DSC Holdings Ltd., our ultimate holding company; (ii) the WFOEs, namely, Hangzhou Dasouche Information Technology Service Co., Ltd. and CheYiPai (Beijing) Automotive Technology Service Co., Ltd, the PRC subsidiaries of the Company that have entered into contractual arrangements with the VIEs, the VIEs’ shareholders and, as applicable, their spouses; (iii) the VIEs, namely Hangzhou Souche and Beijing Peak, and their respective subsidiaries; and (iv) the Company’s subsidiaries other than the WFOEs, and the related summary of the combined and consolidated statements of income and cash flows data for the years ended December 31, 2023, 2024 and 2025.</w:t>
      </w:r>
    </w:p>
    <w:p>
      <w:pPr>
        <w:spacing w:after="0" w:line="76"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Summary consolidating balance sheets data</w:t>
      </w:r>
    </w:p>
    <w:p>
      <w:pPr>
        <w:spacing w:after="0" w:line="19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1"/>
                <w:szCs w:val="11"/>
                <w:b w:val="1"/>
                <w:bCs w:val="1"/>
                <w:color w:val="auto"/>
              </w:rPr>
              <w:t>As of December 31, 2025</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DSC</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8"/>
              </w:rPr>
              <w:t>VIEs and</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5"/>
        </w:trPr>
        <w:tc>
          <w:tcPr>
            <w:tcW w:w="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Holdings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00"/>
              <w:spacing w:after="0" w:line="125" w:lineRule="exact"/>
              <w:rPr>
                <w:sz w:val="20"/>
                <w:szCs w:val="20"/>
                <w:color w:val="auto"/>
              </w:rPr>
            </w:pPr>
            <w:r>
              <w:rPr>
                <w:rFonts w:ascii="Arial" w:cs="Arial" w:eastAsia="Arial" w:hAnsi="Arial"/>
                <w:sz w:val="11"/>
                <w:szCs w:val="11"/>
                <w:b w:val="1"/>
                <w:bCs w:val="1"/>
                <w:color w:val="auto"/>
              </w:rPr>
              <w:t>their</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Ltd.</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WFOEs</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subsidiaries</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8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gridSpan w:val="2"/>
          </w:tcPr>
          <w:p>
            <w:pPr>
              <w:spacing w:after="0"/>
              <w:rPr>
                <w:sz w:val="13"/>
                <w:szCs w:val="13"/>
                <w:color w:val="auto"/>
              </w:rPr>
            </w:pPr>
          </w:p>
        </w:tc>
      </w:tr>
      <w:tr>
        <w:trPr>
          <w:trHeight w:val="208"/>
        </w:trPr>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left="357"/>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 assets: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6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75,319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52,688</w:t>
            </w: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178,862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Restricted cash</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1,143</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1,147</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Short-term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13,730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8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Accounts receivable,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28,132</w:t>
            </w:r>
          </w:p>
        </w:tc>
        <w:tc>
          <w:tcPr>
            <w:tcW w:w="720" w:type="dxa"/>
            <w:vAlign w:val="bottom"/>
          </w:tcPr>
          <w:p>
            <w:pPr>
              <w:jc w:val="right"/>
              <w:spacing w:after="0"/>
              <w:rPr>
                <w:sz w:val="20"/>
                <w:szCs w:val="20"/>
                <w:color w:val="auto"/>
              </w:rPr>
            </w:pPr>
            <w:r>
              <w:rPr>
                <w:rFonts w:ascii="Arial" w:cs="Arial" w:eastAsia="Arial" w:hAnsi="Arial"/>
                <w:sz w:val="14"/>
                <w:szCs w:val="14"/>
                <w:color w:val="auto"/>
              </w:rPr>
              <w:t>32,616</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60,753</w:t>
            </w:r>
          </w:p>
        </w:tc>
        <w:tc>
          <w:tcPr>
            <w:tcW w:w="20" w:type="dxa"/>
            <w:vAlign w:val="bottom"/>
          </w:tcPr>
          <w:p>
            <w:pPr>
              <w:spacing w:after="0"/>
              <w:rPr>
                <w:sz w:val="17"/>
                <w:szCs w:val="17"/>
                <w:color w:val="auto"/>
              </w:rPr>
            </w:pPr>
          </w:p>
        </w:tc>
      </w:tr>
      <w:tr>
        <w:trPr>
          <w:trHeight w:val="155"/>
        </w:trPr>
        <w:tc>
          <w:tcPr>
            <w:tcW w:w="60" w:type="dxa"/>
            <w:vAlign w:val="bottom"/>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Amounts due from</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parties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12,584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70,813</w:t>
            </w: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Contract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2,719</w:t>
            </w:r>
          </w:p>
        </w:tc>
        <w:tc>
          <w:tcPr>
            <w:tcW w:w="720" w:type="dxa"/>
            <w:vAlign w:val="bottom"/>
          </w:tcPr>
          <w:p>
            <w:pPr>
              <w:jc w:val="right"/>
              <w:spacing w:after="0"/>
              <w:rPr>
                <w:sz w:val="20"/>
                <w:szCs w:val="20"/>
                <w:color w:val="auto"/>
              </w:rPr>
            </w:pPr>
            <w:r>
              <w:rPr>
                <w:rFonts w:ascii="Arial" w:cs="Arial" w:eastAsia="Arial" w:hAnsi="Arial"/>
                <w:sz w:val="14"/>
                <w:szCs w:val="14"/>
                <w:color w:val="auto"/>
              </w:rPr>
              <w:t>87,618</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90,337</w:t>
            </w:r>
          </w:p>
        </w:tc>
        <w:tc>
          <w:tcPr>
            <w:tcW w:w="20" w:type="dxa"/>
            <w:vAlign w:val="bottom"/>
          </w:tcPr>
          <w:p>
            <w:pPr>
              <w:spacing w:after="0"/>
              <w:rPr>
                <w:sz w:val="17"/>
                <w:szCs w:val="17"/>
                <w:color w:val="auto"/>
              </w:rPr>
            </w:pPr>
          </w:p>
        </w:tc>
      </w:tr>
      <w:tr>
        <w:trPr>
          <w:trHeight w:val="155"/>
        </w:trPr>
        <w:tc>
          <w:tcPr>
            <w:tcW w:w="60" w:type="dxa"/>
            <w:vAlign w:val="bottom"/>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Prepayments and other</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60" w:type="dxa"/>
            <w:vAlign w:val="bottom"/>
          </w:tcPr>
          <w:p>
            <w:pPr>
              <w:spacing w:after="0"/>
              <w:rPr>
                <w:sz w:val="16"/>
                <w:szCs w:val="16"/>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57,229</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94,549</w:t>
            </w:r>
          </w:p>
        </w:tc>
        <w:tc>
          <w:tcPr>
            <w:tcW w:w="80" w:type="dxa"/>
            <w:vAlign w:val="bottom"/>
            <w:tcBorders>
              <w:lef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154,566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rPr>
              <w:t>Total current assets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50,998</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3,879</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190,856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356,288</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602,021</w:t>
            </w:r>
          </w:p>
        </w:tc>
        <w:tc>
          <w:tcPr>
            <w:tcW w:w="20" w:type="dxa"/>
            <w:vAlign w:val="bottom"/>
          </w:tcPr>
          <w:p>
            <w:pPr>
              <w:spacing w:after="0"/>
              <w:rPr>
                <w:sz w:val="17"/>
                <w:szCs w:val="17"/>
                <w:color w:val="auto"/>
              </w:rPr>
            </w:pPr>
          </w:p>
        </w:tc>
      </w:tr>
      <w:tr>
        <w:trPr>
          <w:trHeight w:val="209"/>
        </w:trPr>
        <w:tc>
          <w:tcPr>
            <w:tcW w:w="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assets:</w:t>
            </w: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Fixed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897</w:t>
            </w:r>
          </w:p>
        </w:tc>
        <w:tc>
          <w:tcPr>
            <w:tcW w:w="720" w:type="dxa"/>
            <w:vAlign w:val="bottom"/>
          </w:tcPr>
          <w:p>
            <w:pPr>
              <w:jc w:val="right"/>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3,571</w:t>
            </w:r>
          </w:p>
        </w:tc>
        <w:tc>
          <w:tcPr>
            <w:tcW w:w="20" w:type="dxa"/>
            <w:vAlign w:val="bottom"/>
          </w:tcPr>
          <w:p>
            <w:pPr>
              <w:spacing w:after="0"/>
              <w:rPr>
                <w:sz w:val="18"/>
                <w:szCs w:val="18"/>
                <w:color w:val="auto"/>
              </w:rPr>
            </w:pPr>
          </w:p>
        </w:tc>
      </w:tr>
      <w:tr>
        <w:trPr>
          <w:trHeight w:val="227"/>
        </w:trPr>
        <w:tc>
          <w:tcPr>
            <w:tcW w:w="6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7,570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7"/>
        </w:trPr>
        <w:tc>
          <w:tcPr>
            <w:tcW w:w="60" w:type="dxa"/>
            <w:vAlign w:val="bottom"/>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Contractual interests in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60" w:type="dxa"/>
            <w:vAlign w:val="bottom"/>
          </w:tcPr>
          <w:p>
            <w:pPr>
              <w:spacing w:after="0"/>
              <w:rPr>
                <w:sz w:val="13"/>
                <w:szCs w:val="13"/>
                <w:color w:val="auto"/>
              </w:rPr>
            </w:pPr>
          </w:p>
        </w:tc>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VIEs and their</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60" w:type="dxa"/>
            <w:vAlign w:val="bottom"/>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subsidiaries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568,167</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(568,167)</w:t>
            </w:r>
          </w:p>
        </w:tc>
        <w:tc>
          <w:tcPr>
            <w:tcW w:w="8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r>
      <w:tr>
        <w:trPr>
          <w:trHeight w:val="155"/>
        </w:trPr>
        <w:tc>
          <w:tcPr>
            <w:tcW w:w="60" w:type="dxa"/>
            <w:vAlign w:val="bottom"/>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Investments in</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657,214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16,661</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(673,875)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Intangible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61,757</w:t>
            </w:r>
          </w:p>
        </w:tc>
        <w:tc>
          <w:tcPr>
            <w:tcW w:w="720" w:type="dxa"/>
            <w:vAlign w:val="bottom"/>
          </w:tcPr>
          <w:p>
            <w:pPr>
              <w:jc w:val="right"/>
              <w:spacing w:after="0"/>
              <w:rPr>
                <w:sz w:val="20"/>
                <w:szCs w:val="20"/>
                <w:color w:val="auto"/>
              </w:rPr>
            </w:pPr>
            <w:r>
              <w:rPr>
                <w:rFonts w:ascii="Arial" w:cs="Arial" w:eastAsia="Arial" w:hAnsi="Arial"/>
                <w:sz w:val="14"/>
                <w:szCs w:val="14"/>
                <w:color w:val="auto"/>
              </w:rPr>
              <w:t>106,002</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(103,351)</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64,408</w:t>
            </w:r>
          </w:p>
        </w:tc>
        <w:tc>
          <w:tcPr>
            <w:tcW w:w="20" w:type="dxa"/>
            <w:vAlign w:val="bottom"/>
          </w:tcPr>
          <w:p>
            <w:pPr>
              <w:spacing w:after="0"/>
              <w:rPr>
                <w:sz w:val="17"/>
                <w:szCs w:val="17"/>
                <w:color w:val="auto"/>
              </w:rPr>
            </w:pPr>
          </w:p>
        </w:tc>
      </w:tr>
      <w:tr>
        <w:trPr>
          <w:trHeight w:val="155"/>
        </w:trPr>
        <w:tc>
          <w:tcPr>
            <w:tcW w:w="60" w:type="dxa"/>
            <w:vAlign w:val="bottom"/>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lease right-of-</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8,176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w:t>
            </w: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Goodwill</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596,858</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596,858</w:t>
            </w:r>
          </w:p>
        </w:tc>
        <w:tc>
          <w:tcPr>
            <w:tcW w:w="20" w:type="dxa"/>
            <w:vAlign w:val="bottom"/>
          </w:tcPr>
          <w:p>
            <w:pPr>
              <w:spacing w:after="0"/>
              <w:rPr>
                <w:sz w:val="17"/>
                <w:szCs w:val="17"/>
                <w:color w:val="auto"/>
              </w:rPr>
            </w:pPr>
          </w:p>
        </w:tc>
      </w:tr>
      <w:tr>
        <w:trPr>
          <w:trHeight w:val="155"/>
        </w:trPr>
        <w:tc>
          <w:tcPr>
            <w:tcW w:w="60" w:type="dxa"/>
            <w:vAlign w:val="bottom"/>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Amounts due from</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parties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20,994</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45,077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62,669</w:t>
            </w:r>
          </w:p>
        </w:tc>
        <w:tc>
          <w:tcPr>
            <w:tcW w:w="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132,716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700" w:type="dxa"/>
            <w:vAlign w:val="bottom"/>
            <w:gridSpan w:val="2"/>
          </w:tcPr>
          <w:p>
            <w:pPr>
              <w:ind w:left="60"/>
              <w:spacing w:after="0"/>
              <w:rPr>
                <w:sz w:val="20"/>
                <w:szCs w:val="20"/>
                <w:color w:val="auto"/>
              </w:rPr>
            </w:pPr>
            <w:r>
              <w:rPr>
                <w:rFonts w:ascii="Arial" w:cs="Arial" w:eastAsia="Arial" w:hAnsi="Arial"/>
                <w:sz w:val="14"/>
                <w:szCs w:val="14"/>
                <w:color w:val="auto"/>
              </w:rPr>
              <w:t>Other non-current assets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555</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5,527</w:t>
            </w:r>
          </w:p>
        </w:tc>
        <w:tc>
          <w:tcPr>
            <w:tcW w:w="720" w:type="dxa"/>
            <w:vAlign w:val="bottom"/>
          </w:tcPr>
          <w:p>
            <w:pPr>
              <w:jc w:val="right"/>
              <w:spacing w:after="0"/>
              <w:rPr>
                <w:sz w:val="20"/>
                <w:szCs w:val="20"/>
                <w:color w:val="auto"/>
              </w:rPr>
            </w:pPr>
            <w:r>
              <w:rPr>
                <w:rFonts w:ascii="Arial" w:cs="Arial" w:eastAsia="Arial" w:hAnsi="Arial"/>
                <w:sz w:val="14"/>
                <w:szCs w:val="14"/>
                <w:color w:val="auto"/>
              </w:rPr>
              <w:t>8,783</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14,865</w:t>
            </w:r>
          </w:p>
        </w:tc>
        <w:tc>
          <w:tcPr>
            <w:tcW w:w="20" w:type="dxa"/>
            <w:vAlign w:val="bottom"/>
          </w:tcPr>
          <w:p>
            <w:pPr>
              <w:spacing w:after="0"/>
              <w:rPr>
                <w:sz w:val="18"/>
                <w:szCs w:val="18"/>
                <w:color w:val="auto"/>
              </w:rPr>
            </w:pPr>
          </w:p>
        </w:tc>
      </w:tr>
      <w:tr>
        <w:trPr>
          <w:trHeight w:val="125"/>
        </w:trPr>
        <w:tc>
          <w:tcPr>
            <w:tcW w:w="60" w:type="dxa"/>
            <w:vAlign w:val="bottom"/>
          </w:tcPr>
          <w:p>
            <w:pPr>
              <w:spacing w:after="0"/>
              <w:rPr>
                <w:sz w:val="10"/>
                <w:szCs w:val="10"/>
                <w:color w:val="auto"/>
              </w:rPr>
            </w:pPr>
          </w:p>
        </w:tc>
        <w:tc>
          <w:tcPr>
            <w:tcW w:w="16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Total non-current</w:t>
            </w: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lef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60" w:type="dxa"/>
            <w:vAlign w:val="bottom"/>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661,190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591,044</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725,862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200,682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(1,345,393)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833,385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2"/>
        </w:trPr>
        <w:tc>
          <w:tcPr>
            <w:tcW w:w="60" w:type="dxa"/>
            <w:vAlign w:val="bottom"/>
          </w:tcPr>
          <w:p>
            <w:pPr>
              <w:spacing w:after="0"/>
              <w:rPr>
                <w:sz w:val="10"/>
                <w:szCs w:val="10"/>
                <w:color w:val="auto"/>
              </w:rPr>
            </w:pPr>
          </w:p>
        </w:tc>
        <w:tc>
          <w:tcPr>
            <w:tcW w:w="1640" w:type="dxa"/>
            <w:vAlign w:val="bottom"/>
          </w:tcPr>
          <w:p>
            <w:pPr>
              <w:spacing w:after="0" w:line="122" w:lineRule="exact"/>
              <w:rPr>
                <w:sz w:val="20"/>
                <w:szCs w:val="20"/>
                <w:color w:val="auto"/>
              </w:rPr>
            </w:pPr>
            <w:r>
              <w:rPr>
                <w:rFonts w:ascii="Arial" w:cs="Arial" w:eastAsia="Arial" w:hAnsi="Arial"/>
                <w:sz w:val="14"/>
                <w:szCs w:val="14"/>
                <w:b w:val="1"/>
                <w:bCs w:val="1"/>
                <w:color w:val="auto"/>
              </w:rPr>
              <w:t>Amounts due from the</w:t>
            </w: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1"/>
        </w:trPr>
        <w:tc>
          <w:tcPr>
            <w:tcW w:w="60" w:type="dxa"/>
            <w:vAlign w:val="bottom"/>
          </w:tcPr>
          <w:p>
            <w:pPr>
              <w:spacing w:after="0"/>
              <w:rPr>
                <w:sz w:val="17"/>
                <w:szCs w:val="17"/>
                <w:color w:val="auto"/>
              </w:rPr>
            </w:pPr>
          </w:p>
        </w:tc>
        <w:tc>
          <w:tcPr>
            <w:tcW w:w="1640" w:type="dxa"/>
            <w:vAlign w:val="bottom"/>
          </w:tcPr>
          <w:p>
            <w:pPr>
              <w:ind w:left="140"/>
              <w:spacing w:after="0"/>
              <w:rPr>
                <w:sz w:val="20"/>
                <w:szCs w:val="20"/>
                <w:color w:val="auto"/>
              </w:rPr>
            </w:pPr>
            <w:r>
              <w:rPr>
                <w:rFonts w:ascii="Arial" w:cs="Arial" w:eastAsia="Arial" w:hAnsi="Arial"/>
                <w:sz w:val="14"/>
                <w:szCs w:val="14"/>
                <w:b w:val="1"/>
                <w:bCs w:val="1"/>
                <w:color w:val="auto"/>
              </w:rPr>
              <w:t>entities within DSC</w:t>
            </w:r>
            <w:r>
              <w:rPr>
                <w:rFonts w:ascii="Arial" w:cs="Arial" w:eastAsia="Arial" w:hAnsi="Arial"/>
                <w:sz w:val="16"/>
                <w:szCs w:val="16"/>
                <w:b w:val="1"/>
                <w:bCs w:val="1"/>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174,685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910,340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1,057,075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(2,142,100)</w:t>
            </w:r>
          </w:p>
        </w:tc>
        <w:tc>
          <w:tcPr>
            <w:tcW w:w="8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712,188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769,608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1,827,058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1,614,045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(3,487,493)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1,435,406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60" w:type="dxa"/>
            <w:vAlign w:val="bottom"/>
            <w:tcBorders>
              <w:bottom w:val="single" w:sz="8" w:color="auto"/>
            </w:tcBorders>
          </w:tcPr>
          <w:p>
            <w:pPr>
              <w:spacing w:after="0"/>
              <w:rPr>
                <w:sz w:val="21"/>
                <w:szCs w:val="21"/>
                <w:color w:val="auto"/>
              </w:rPr>
            </w:pPr>
          </w:p>
        </w:tc>
        <w:tc>
          <w:tcPr>
            <w:tcW w:w="1640" w:type="dxa"/>
            <w:vAlign w:val="bottom"/>
            <w:tcBorders>
              <w:top w:val="single" w:sz="8" w:color="CCEEFF"/>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86"/>
        </w:trPr>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17"/>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43" w:name="page44"/>
    <w:bookmarkEnd w:id="43"/>
    <w:p>
      <w:pPr>
        <w:ind w:left="1420"/>
        <w:spacing w:after="0"/>
        <w:rPr>
          <w:sz w:val="20"/>
          <w:szCs w:val="20"/>
          <w:color w:val="auto"/>
        </w:rPr>
      </w:pPr>
      <w:r>
        <w:rPr>
          <w:rFonts w:ascii="Arial" w:cs="Arial" w:eastAsia="Arial" w:hAnsi="Arial"/>
          <w:sz w:val="14"/>
          <w:szCs w:val="14"/>
          <w:color w:val="0000EE"/>
        </w:rPr>
        <w:t>Table of Contents</w:t>
      </w:r>
    </w:p>
    <w:tbl>
      <w:tblPr>
        <w:tblLayout w:type="fixed"/>
        <w:tblInd w:w="1430" w:type="dxa"/>
        <w:tblCellMar>
          <w:top w:w="0" w:type="dxa"/>
          <w:left w:w="0" w:type="dxa"/>
          <w:bottom w:w="0" w:type="dxa"/>
          <w:right w:w="0" w:type="dxa"/>
        </w:tblCellMar>
      </w:tblPr>
      <w:tr>
        <w:trPr>
          <w:trHeight w:val="493"/>
        </w:trPr>
        <w:tc>
          <w:tcPr>
            <w:tcW w:w="60" w:type="dxa"/>
            <w:vAlign w:val="bottom"/>
            <w:tcBorders>
              <w:top w:val="single" w:sz="8" w:color="auto"/>
              <w:left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gridSpan w:val="6"/>
          </w:tcPr>
          <w:p>
            <w:pPr>
              <w:jc w:val="right"/>
              <w:ind w:right="800"/>
              <w:spacing w:after="0"/>
              <w:rPr>
                <w:sz w:val="20"/>
                <w:szCs w:val="20"/>
                <w:color w:val="auto"/>
              </w:rPr>
            </w:pPr>
            <w:r>
              <w:rPr>
                <w:rFonts w:ascii="Arial" w:cs="Arial" w:eastAsia="Arial" w:hAnsi="Arial"/>
                <w:sz w:val="11"/>
                <w:szCs w:val="11"/>
                <w:b w:val="1"/>
                <w:bCs w:val="1"/>
                <w:color w:val="auto"/>
              </w:rPr>
              <w:t>As of December 31, 2025</w:t>
            </w:r>
          </w:p>
        </w:tc>
        <w:tc>
          <w:tcPr>
            <w:tcW w:w="7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Borders>
              <w:left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94"/>
              </w:rPr>
              <w:t>DSC</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rPr>
              <w:t>VIEs and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Borders>
              <w:left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gridSpan w:val="2"/>
          </w:tcPr>
          <w:p>
            <w:pPr>
              <w:jc w:val="center"/>
              <w:ind w:right="160"/>
              <w:spacing w:after="0" w:line="125" w:lineRule="exact"/>
              <w:rPr>
                <w:sz w:val="20"/>
                <w:szCs w:val="20"/>
                <w:color w:val="auto"/>
              </w:rPr>
            </w:pPr>
            <w:r>
              <w:rPr>
                <w:rFonts w:ascii="Arial" w:cs="Arial" w:eastAsia="Arial" w:hAnsi="Arial"/>
                <w:sz w:val="11"/>
                <w:szCs w:val="11"/>
                <w:b w:val="1"/>
                <w:bCs w:val="1"/>
                <w:color w:val="auto"/>
                <w:w w:val="97"/>
              </w:rPr>
              <w:t>Holdings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80"/>
              <w:spacing w:after="0" w:line="125" w:lineRule="exact"/>
              <w:rPr>
                <w:sz w:val="20"/>
                <w:szCs w:val="20"/>
                <w:color w:val="auto"/>
              </w:rPr>
            </w:pPr>
            <w:r>
              <w:rPr>
                <w:rFonts w:ascii="Arial" w:cs="Arial" w:eastAsia="Arial" w:hAnsi="Arial"/>
                <w:sz w:val="11"/>
                <w:szCs w:val="11"/>
                <w:b w:val="1"/>
                <w:bCs w:val="1"/>
                <w:color w:val="auto"/>
              </w:rPr>
              <w:t>their</w:t>
            </w:r>
          </w:p>
        </w:tc>
        <w:tc>
          <w:tcPr>
            <w:tcW w:w="760" w:type="dxa"/>
            <w:vAlign w:val="bottom"/>
            <w:gridSpan w:val="2"/>
          </w:tcPr>
          <w:p>
            <w:pPr>
              <w:jc w:val="right"/>
              <w:ind w:right="340"/>
              <w:spacing w:after="0" w:line="125" w:lineRule="exact"/>
              <w:rPr>
                <w:sz w:val="20"/>
                <w:szCs w:val="20"/>
                <w:color w:val="auto"/>
              </w:rPr>
            </w:pPr>
            <w:r>
              <w:rPr>
                <w:rFonts w:ascii="Arial" w:cs="Arial" w:eastAsia="Arial" w:hAnsi="Arial"/>
                <w:sz w:val="11"/>
                <w:szCs w:val="11"/>
                <w:b w:val="1"/>
                <w:bCs w:val="1"/>
                <w:color w:val="auto"/>
              </w:rPr>
              <w:t>Other</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Borders>
              <w:left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160" w:type="dxa"/>
            <w:vAlign w:val="bottom"/>
          </w:tcPr>
          <w:p>
            <w:pPr>
              <w:spacing w:after="0"/>
              <w:rPr>
                <w:sz w:val="13"/>
                <w:szCs w:val="13"/>
                <w:color w:val="auto"/>
              </w:rPr>
            </w:pPr>
          </w:p>
        </w:tc>
        <w:tc>
          <w:tcPr>
            <w:tcW w:w="62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1"/>
                <w:szCs w:val="11"/>
                <w:b w:val="1"/>
                <w:bCs w:val="1"/>
                <w:color w:val="auto"/>
              </w:rPr>
              <w:t>WFOEs</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1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subsidiaries</w:t>
            </w:r>
          </w:p>
        </w:tc>
        <w:tc>
          <w:tcPr>
            <w:tcW w:w="12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w w:val="97"/>
              </w:rPr>
              <w:t>Eliminations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(in thousands)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540" w:type="dxa"/>
            <w:vAlign w:val="bottom"/>
            <w:tcBorders>
              <w:lef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Short-term loans</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200" w:type="dxa"/>
            <w:vAlign w:val="bottom"/>
            <w:tcBorders>
              <w:righ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76,603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42,591</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121,274</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Accounts payable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198</w:t>
            </w:r>
          </w:p>
        </w:tc>
        <w:tc>
          <w:tcPr>
            <w:tcW w:w="420" w:type="dxa"/>
            <w:vAlign w:val="bottom"/>
          </w:tcPr>
          <w:p>
            <w:pPr>
              <w:jc w:val="right"/>
              <w:spacing w:after="0"/>
              <w:rPr>
                <w:sz w:val="20"/>
                <w:szCs w:val="20"/>
                <w:color w:val="auto"/>
              </w:rPr>
            </w:pPr>
            <w:r>
              <w:rPr>
                <w:rFonts w:ascii="Arial" w:cs="Arial" w:eastAsia="Arial" w:hAnsi="Arial"/>
                <w:sz w:val="14"/>
                <w:szCs w:val="14"/>
                <w:color w:val="auto"/>
              </w:rPr>
              <w:t>1,706</w:t>
            </w:r>
          </w:p>
        </w:tc>
        <w:tc>
          <w:tcPr>
            <w:tcW w:w="20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42,537</w:t>
            </w:r>
          </w:p>
        </w:tc>
        <w:tc>
          <w:tcPr>
            <w:tcW w:w="640" w:type="dxa"/>
            <w:vAlign w:val="bottom"/>
          </w:tcPr>
          <w:p>
            <w:pPr>
              <w:jc w:val="right"/>
              <w:spacing w:after="0"/>
              <w:rPr>
                <w:sz w:val="20"/>
                <w:szCs w:val="20"/>
                <w:color w:val="auto"/>
              </w:rPr>
            </w:pPr>
            <w:r>
              <w:rPr>
                <w:rFonts w:ascii="Arial" w:cs="Arial" w:eastAsia="Arial" w:hAnsi="Arial"/>
                <w:sz w:val="14"/>
                <w:szCs w:val="14"/>
                <w:color w:val="auto"/>
              </w:rPr>
              <w:t>16,359</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60,800</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Contract liabilities and</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customer advance</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28,870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21,813</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51,170</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rPr>
              <w:t>Amounts due to related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parties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2,004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lease</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liabilities, current</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portion</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2,621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rPr>
              <w:t>Accrued expenses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420" w:type="dxa"/>
            <w:vAlign w:val="bottom"/>
          </w:tcPr>
          <w:p>
            <w:pPr>
              <w:jc w:val="right"/>
              <w:spacing w:after="0"/>
              <w:rPr>
                <w:sz w:val="20"/>
                <w:szCs w:val="20"/>
                <w:color w:val="auto"/>
              </w:rPr>
            </w:pPr>
            <w:r>
              <w:rPr>
                <w:rFonts w:ascii="Arial" w:cs="Arial" w:eastAsia="Arial" w:hAnsi="Arial"/>
                <w:sz w:val="14"/>
                <w:szCs w:val="14"/>
                <w:color w:val="auto"/>
              </w:rPr>
              <w:t>1,927</w:t>
            </w:r>
          </w:p>
        </w:tc>
        <w:tc>
          <w:tcPr>
            <w:tcW w:w="20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141,353</w:t>
            </w:r>
          </w:p>
        </w:tc>
        <w:tc>
          <w:tcPr>
            <w:tcW w:w="640" w:type="dxa"/>
            <w:vAlign w:val="bottom"/>
          </w:tcPr>
          <w:p>
            <w:pPr>
              <w:jc w:val="right"/>
              <w:spacing w:after="0"/>
              <w:rPr>
                <w:sz w:val="20"/>
                <w:szCs w:val="20"/>
                <w:color w:val="auto"/>
              </w:rPr>
            </w:pPr>
            <w:r>
              <w:rPr>
                <w:rFonts w:ascii="Arial" w:cs="Arial" w:eastAsia="Arial" w:hAnsi="Arial"/>
                <w:sz w:val="14"/>
                <w:szCs w:val="14"/>
                <w:color w:val="auto"/>
              </w:rPr>
              <w:t>44,614</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187,967</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Borders>
              <w:left w:val="single" w:sz="8" w:color="auto"/>
            </w:tcBorders>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271</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6,756</w:t>
            </w:r>
          </w:p>
        </w:tc>
        <w:tc>
          <w:tcPr>
            <w:tcW w:w="20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293,988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127,023</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428,038</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Non-current liabilities:</w:t>
            </w: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rPr>
              <w:t>Amounts due to related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parties, non-current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4,602</w:t>
            </w:r>
          </w:p>
        </w:tc>
        <w:tc>
          <w:tcPr>
            <w:tcW w:w="420" w:type="dxa"/>
            <w:vAlign w:val="bottom"/>
          </w:tcPr>
          <w:p>
            <w:pPr>
              <w:jc w:val="right"/>
              <w:spacing w:after="0"/>
              <w:rPr>
                <w:sz w:val="20"/>
                <w:szCs w:val="20"/>
                <w:color w:val="auto"/>
              </w:rPr>
            </w:pPr>
            <w:r>
              <w:rPr>
                <w:rFonts w:ascii="Arial" w:cs="Arial" w:eastAsia="Arial" w:hAnsi="Arial"/>
                <w:sz w:val="14"/>
                <w:szCs w:val="14"/>
                <w:color w:val="auto"/>
              </w:rPr>
              <w:t>9,849</w:t>
            </w:r>
          </w:p>
        </w:tc>
        <w:tc>
          <w:tcPr>
            <w:tcW w:w="20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122,644</w:t>
            </w:r>
          </w:p>
        </w:tc>
        <w:tc>
          <w:tcPr>
            <w:tcW w:w="640" w:type="dxa"/>
            <w:vAlign w:val="bottom"/>
          </w:tcPr>
          <w:p>
            <w:pPr>
              <w:jc w:val="right"/>
              <w:spacing w:after="0"/>
              <w:rPr>
                <w:sz w:val="20"/>
                <w:szCs w:val="20"/>
                <w:color w:val="auto"/>
              </w:rPr>
            </w:pPr>
            <w:r>
              <w:rPr>
                <w:rFonts w:ascii="Arial" w:cs="Arial" w:eastAsia="Arial" w:hAnsi="Arial"/>
                <w:sz w:val="14"/>
                <w:szCs w:val="14"/>
                <w:color w:val="auto"/>
              </w:rPr>
              <w:t>145,903</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282,998</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200" w:type="dxa"/>
            <w:vAlign w:val="bottom"/>
            <w:tcBorders>
              <w:righ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5,019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8,616</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rPr>
              <w:t>Other non-current</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liabilities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1,207</w:t>
            </w:r>
          </w:p>
        </w:tc>
        <w:tc>
          <w:tcPr>
            <w:tcW w:w="640" w:type="dxa"/>
            <w:vAlign w:val="bottom"/>
          </w:tcPr>
          <w:p>
            <w:pPr>
              <w:jc w:val="right"/>
              <w:spacing w:after="0"/>
              <w:rPr>
                <w:sz w:val="20"/>
                <w:szCs w:val="20"/>
                <w:color w:val="auto"/>
              </w:rPr>
            </w:pPr>
            <w:r>
              <w:rPr>
                <w:rFonts w:ascii="Arial" w:cs="Arial" w:eastAsia="Arial" w:hAnsi="Arial"/>
                <w:sz w:val="14"/>
                <w:szCs w:val="14"/>
                <w:color w:val="auto"/>
              </w:rPr>
              <w:t>7,143</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8,350</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in excess of</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investments in</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1320" w:type="dxa"/>
            <w:vAlign w:val="bottom"/>
            <w:tcBorders>
              <w:left w:val="single" w:sz="8" w:color="CCEEFF"/>
              <w:right w:val="single" w:sz="8" w:color="CCEEFF"/>
            </w:tcBorders>
            <w:gridSpan w:val="4"/>
            <w:shd w:val="clear" w:color="auto" w:fill="CCEEFF"/>
          </w:tcPr>
          <w:p>
            <w:pPr>
              <w:jc w:val="right"/>
              <w:ind w:right="131"/>
              <w:spacing w:after="0"/>
              <w:rPr>
                <w:sz w:val="20"/>
                <w:szCs w:val="20"/>
                <w:color w:val="auto"/>
              </w:rPr>
            </w:pPr>
            <w:r>
              <w:rPr>
                <w:rFonts w:ascii="Arial" w:cs="Arial" w:eastAsia="Arial" w:hAnsi="Arial"/>
                <w:sz w:val="14"/>
                <w:szCs w:val="14"/>
                <w:color w:val="auto"/>
              </w:rPr>
              <w:t>— 410,026</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(410,026)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 w:type="dxa"/>
            <w:vAlign w:val="bottom"/>
            <w:tcBorders>
              <w:left w:val="single" w:sz="8" w:color="auto"/>
            </w:tcBorders>
          </w:tcPr>
          <w:p>
            <w:pPr>
              <w:spacing w:after="0"/>
              <w:rPr>
                <w:sz w:val="11"/>
                <w:szCs w:val="11"/>
                <w:color w:val="auto"/>
              </w:rPr>
            </w:pPr>
          </w:p>
        </w:tc>
        <w:tc>
          <w:tcPr>
            <w:tcW w:w="162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Total non-current</w:t>
            </w: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left w:val="single" w:sz="8" w:color="auto"/>
            </w:tcBorders>
          </w:tcPr>
          <w:p>
            <w:pPr>
              <w:spacing w:after="0"/>
              <w:rPr>
                <w:sz w:val="16"/>
                <w:szCs w:val="16"/>
                <w:color w:val="auto"/>
              </w:rPr>
            </w:pPr>
          </w:p>
        </w:tc>
        <w:tc>
          <w:tcPr>
            <w:tcW w:w="1620" w:type="dxa"/>
            <w:vAlign w:val="bottom"/>
          </w:tcPr>
          <w:p>
            <w:pPr>
              <w:ind w:left="1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4,602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8"/>
              </w:rPr>
              <w:t>421,065</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128,870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155,453</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(410,026)</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299,964</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 w:type="dxa"/>
            <w:vAlign w:val="bottom"/>
            <w:tcBorders>
              <w:left w:val="single" w:sz="8" w:color="auto"/>
            </w:tcBorders>
            <w:vMerge w:val="continue"/>
          </w:tcPr>
          <w:p>
            <w:pPr>
              <w:spacing w:after="0"/>
              <w:rPr>
                <w:sz w:val="11"/>
                <w:szCs w:val="11"/>
                <w:color w:val="auto"/>
              </w:rPr>
            </w:pPr>
          </w:p>
        </w:tc>
        <w:tc>
          <w:tcPr>
            <w:tcW w:w="16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Amounts due to the</w:t>
            </w:r>
          </w:p>
        </w:tc>
        <w:tc>
          <w:tcPr>
            <w:tcW w:w="540" w:type="dxa"/>
            <w:vAlign w:val="bottom"/>
            <w:tcBorders>
              <w:lef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left w:val="single" w:sz="8" w:color="CCEEFF"/>
              <w:right w:val="single" w:sz="8" w:color="CCEEFF"/>
            </w:tcBorders>
            <w:shd w:val="clear" w:color="auto" w:fill="CCEEFF"/>
          </w:tcPr>
          <w:p>
            <w:pPr>
              <w:spacing w:after="0"/>
              <w:rPr>
                <w:sz w:val="11"/>
                <w:szCs w:val="11"/>
                <w:color w:val="auto"/>
              </w:rPr>
            </w:pP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w w:val="89"/>
              </w:rPr>
              <w:t>(2,348,496)</w:t>
            </w:r>
          </w:p>
        </w:tc>
        <w:tc>
          <w:tcPr>
            <w:tcW w:w="780" w:type="dxa"/>
            <w:vAlign w:val="bottom"/>
            <w:shd w:val="clear" w:color="auto" w:fill="CCEEFF"/>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entities within DSC</w:t>
            </w:r>
            <w:r>
              <w:rPr>
                <w:rFonts w:ascii="Arial" w:cs="Arial" w:eastAsia="Arial" w:hAnsi="Arial"/>
                <w:sz w:val="16"/>
                <w:szCs w:val="16"/>
                <w:b w:val="1"/>
                <w:bCs w:val="1"/>
                <w:color w:val="auto"/>
                <w:vertAlign w:val="superscript"/>
              </w:rPr>
              <w:t>(1)</w:t>
            </w:r>
          </w:p>
        </w:tc>
        <w:tc>
          <w:tcPr>
            <w:tcW w:w="1320" w:type="dxa"/>
            <w:vAlign w:val="bottom"/>
            <w:tcBorders>
              <w:left w:val="single" w:sz="8" w:color="CCEEFF"/>
              <w:right w:val="single" w:sz="8" w:color="CCEEFF"/>
            </w:tcBorders>
            <w:gridSpan w:val="4"/>
            <w:shd w:val="clear" w:color="auto" w:fill="CCEEFF"/>
          </w:tcPr>
          <w:p>
            <w:pPr>
              <w:jc w:val="right"/>
              <w:ind w:right="131"/>
              <w:spacing w:after="0"/>
              <w:rPr>
                <w:sz w:val="20"/>
                <w:szCs w:val="20"/>
                <w:color w:val="auto"/>
              </w:rPr>
            </w:pPr>
            <w:r>
              <w:rPr>
                <w:rFonts w:ascii="Arial" w:cs="Arial" w:eastAsia="Arial" w:hAnsi="Arial"/>
                <w:sz w:val="14"/>
                <w:szCs w:val="14"/>
                <w:color w:val="auto"/>
              </w:rPr>
              <w:t>— 390,769</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836,033</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1,121,694</w:t>
            </w:r>
          </w:p>
        </w:tc>
        <w:tc>
          <w:tcPr>
            <w:tcW w:w="12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 liabilities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4,873</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8"/>
              </w:rPr>
              <w:t>818,590</w:t>
            </w:r>
          </w:p>
        </w:tc>
        <w:tc>
          <w:tcPr>
            <w:tcW w:w="20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1,258,891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1,404,170</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(2,758,522)</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728,002</w:t>
            </w:r>
          </w:p>
        </w:tc>
        <w:tc>
          <w:tcPr>
            <w:tcW w:w="0" w:type="dxa"/>
            <w:vAlign w:val="bottom"/>
          </w:tcPr>
          <w:p>
            <w:pPr>
              <w:spacing w:after="0"/>
              <w:rPr>
                <w:sz w:val="1"/>
                <w:szCs w:val="1"/>
                <w:color w:val="auto"/>
              </w:rPr>
            </w:pPr>
          </w:p>
        </w:tc>
      </w:tr>
      <w:tr>
        <w:trPr>
          <w:trHeight w:val="87"/>
        </w:trPr>
        <w:tc>
          <w:tcPr>
            <w:tcW w:w="60" w:type="dxa"/>
            <w:vAlign w:val="bottom"/>
            <w:tcBorders>
              <w:left w:val="single" w:sz="8" w:color="auto"/>
            </w:tcBorders>
          </w:tcPr>
          <w:p>
            <w:pPr>
              <w:spacing w:after="0"/>
              <w:rPr>
                <w:sz w:val="7"/>
                <w:szCs w:val="7"/>
                <w:color w:val="auto"/>
              </w:rPr>
            </w:pPr>
          </w:p>
        </w:tc>
        <w:tc>
          <w:tcPr>
            <w:tcW w:w="16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mezzanine equity</w:t>
            </w:r>
          </w:p>
        </w:tc>
        <w:tc>
          <w:tcPr>
            <w:tcW w:w="540" w:type="dxa"/>
            <w:vAlign w:val="bottom"/>
            <w:tcBorders>
              <w:top w:val="single" w:sz="8" w:color="auto"/>
              <w:left w:val="single" w:sz="8" w:color="CCEEFF"/>
            </w:tcBorders>
            <w:shd w:val="clear" w:color="auto" w:fill="CCEEFF"/>
          </w:tcPr>
          <w:p>
            <w:pPr>
              <w:spacing w:after="0"/>
              <w:rPr>
                <w:sz w:val="7"/>
                <w:szCs w:val="7"/>
                <w:color w:val="auto"/>
              </w:rPr>
            </w:pPr>
          </w:p>
        </w:tc>
        <w:tc>
          <w:tcPr>
            <w:tcW w:w="160" w:type="dxa"/>
            <w:vAlign w:val="bottom"/>
            <w:tcBorders>
              <w:top w:val="single" w:sz="8" w:color="CCEEFF"/>
              <w:right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b w:val="1"/>
                <w:bCs w:val="1"/>
                <w:color w:val="auto"/>
              </w:rPr>
              <w:t>and shareholders’</w:t>
            </w:r>
          </w:p>
        </w:tc>
        <w:tc>
          <w:tcPr>
            <w:tcW w:w="540" w:type="dxa"/>
            <w:vAlign w:val="bottom"/>
            <w:tcBorders>
              <w:lef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tcBorders>
          </w:tcPr>
          <w:p>
            <w:pPr>
              <w:spacing w:after="0"/>
              <w:rPr>
                <w:sz w:val="16"/>
                <w:szCs w:val="16"/>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deficit</w:t>
            </w:r>
          </w:p>
        </w:tc>
        <w:tc>
          <w:tcPr>
            <w:tcW w:w="700" w:type="dxa"/>
            <w:vAlign w:val="bottom"/>
            <w:tcBorders>
              <w:left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707,315</w:t>
            </w:r>
          </w:p>
        </w:tc>
        <w:tc>
          <w:tcPr>
            <w:tcW w:w="620" w:type="dxa"/>
            <w:vAlign w:val="bottom"/>
            <w:tcBorders>
              <w:right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4"/>
                <w:szCs w:val="14"/>
                <w:b w:val="1"/>
                <w:bCs w:val="1"/>
                <w:color w:val="auto"/>
                <w:w w:val="84"/>
              </w:rPr>
              <w:t>(48,982)</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568,167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209,875</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(728,971)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707,404</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 w:type="dxa"/>
            <w:vAlign w:val="bottom"/>
            <w:tcBorders>
              <w:lef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1"/>
                <w:szCs w:val="11"/>
                <w:b w:val="1"/>
                <w:bCs w:val="1"/>
                <w:color w:val="auto"/>
              </w:rPr>
              <w:t>As of December 31, 2024</w:t>
            </w:r>
          </w:p>
        </w:tc>
        <w:tc>
          <w:tcPr>
            <w:tcW w:w="780" w:type="dxa"/>
            <w:vAlign w:val="bottom"/>
            <w:tcBorders>
              <w:bottom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Borders>
              <w:left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94"/>
              </w:rPr>
              <w:t>DSC</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rPr>
              <w:t>VIEs and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Borders>
              <w:left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7"/>
              </w:rPr>
              <w:t>Holdings</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their</w:t>
            </w:r>
          </w:p>
        </w:tc>
        <w:tc>
          <w:tcPr>
            <w:tcW w:w="760" w:type="dxa"/>
            <w:vAlign w:val="bottom"/>
            <w:gridSpan w:val="2"/>
          </w:tcPr>
          <w:p>
            <w:pPr>
              <w:jc w:val="right"/>
              <w:ind w:right="260"/>
              <w:spacing w:after="0" w:line="125" w:lineRule="exact"/>
              <w:rPr>
                <w:sz w:val="20"/>
                <w:szCs w:val="20"/>
                <w:color w:val="auto"/>
              </w:rPr>
            </w:pPr>
            <w:r>
              <w:rPr>
                <w:rFonts w:ascii="Arial" w:cs="Arial" w:eastAsia="Arial" w:hAnsi="Arial"/>
                <w:sz w:val="11"/>
                <w:szCs w:val="11"/>
                <w:b w:val="1"/>
                <w:bCs w:val="1"/>
                <w:color w:val="auto"/>
              </w:rPr>
              <w:t>Other</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Borders>
              <w:left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98"/>
              </w:rPr>
              <w:t>Ltd.</w:t>
            </w:r>
          </w:p>
        </w:tc>
        <w:tc>
          <w:tcPr>
            <w:tcW w:w="6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1"/>
                <w:szCs w:val="11"/>
                <w:b w:val="1"/>
                <w:bCs w:val="1"/>
                <w:color w:val="auto"/>
              </w:rPr>
              <w:t>WFOEs</w:t>
            </w:r>
          </w:p>
        </w:tc>
        <w:tc>
          <w:tcPr>
            <w:tcW w:w="80" w:type="dxa"/>
            <w:vAlign w:val="bottom"/>
          </w:tcPr>
          <w:p>
            <w:pPr>
              <w:spacing w:after="0"/>
              <w:rPr>
                <w:sz w:val="13"/>
                <w:szCs w:val="13"/>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9"/>
              </w:rPr>
              <w:t>subsidiaries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subsidiaries</w:t>
            </w:r>
          </w:p>
        </w:tc>
        <w:tc>
          <w:tcPr>
            <w:tcW w:w="12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Eliminations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rPr>
              <w:t>(in thousands)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lef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Current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auto"/>
            </w:tcBorders>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w:t>
            </w:r>
          </w:p>
        </w:tc>
        <w:tc>
          <w:tcPr>
            <w:tcW w:w="5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left w:val="single" w:sz="8" w:color="CCEEFF"/>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equivalents</w:t>
            </w:r>
          </w:p>
        </w:tc>
        <w:tc>
          <w:tcPr>
            <w:tcW w:w="7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54,547</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8,611</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89,609</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62,634</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215,401</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8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Restricted cash</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22</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1,239</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7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38,495</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35,503</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74,181</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w w:val="98"/>
              </w:rPr>
              <w:t>Amounts due from related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parties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1,540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34,514</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9,154</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45,208</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7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4,383</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104,771</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109,154</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20" w:type="dxa"/>
            <w:vAlign w:val="bottom"/>
          </w:tcPr>
          <w:p>
            <w:pPr>
              <w:spacing w:after="0" w:line="137" w:lineRule="exact"/>
              <w:rPr>
                <w:sz w:val="20"/>
                <w:szCs w:val="20"/>
                <w:color w:val="auto"/>
              </w:rPr>
            </w:pPr>
            <w:r>
              <w:rPr>
                <w:rFonts w:ascii="Arial" w:cs="Arial" w:eastAsia="Arial" w:hAnsi="Arial"/>
                <w:sz w:val="14"/>
                <w:szCs w:val="14"/>
                <w:color w:val="auto"/>
              </w:rPr>
              <w:t>Prepayments and other</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2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1,068</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983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49,658</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92,226</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143,935</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70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700" w:type="dxa"/>
            <w:vAlign w:val="bottom"/>
            <w:tcBorders>
              <w:left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55,615</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11,317</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216,681</w:t>
            </w: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305,527</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589,140</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auto"/>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-3208020</wp:posOffset>
            </wp:positionV>
            <wp:extent cx="2413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130" cy="635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-2990850</wp:posOffset>
            </wp:positionV>
            <wp:extent cx="2413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130" cy="6350"/>
                    </a:xfrm>
                    <a:prstGeom prst="rect">
                      <a:avLst/>
                    </a:prstGeom>
                    <a:noFill/>
                  </pic:spPr>
                </pic:pic>
              </a:graphicData>
            </a:graphic>
          </wp:anchor>
        </w:drawing>
      </w:r>
    </w:p>
    <w:p>
      <w:pPr>
        <w:sectPr>
          <w:pgSz w:w="11920" w:h="16838" w:orient="portrait"/>
          <w:cols w:equalWidth="0" w:num="1">
            <w:col w:w="9038"/>
          </w:cols>
          <w:pgMar w:left="1440" w:top="222" w:right="1440" w:bottom="1440" w:gutter="0" w:footer="0" w:header="0"/>
        </w:sectPr>
      </w:pPr>
    </w:p>
    <w:bookmarkStart w:id="44" w:name="page45"/>
    <w:bookmarkEnd w:id="44"/>
    <w:p>
      <w:pPr>
        <w:ind w:left="1420"/>
        <w:spacing w:after="0"/>
        <w:rPr>
          <w:sz w:val="20"/>
          <w:szCs w:val="20"/>
          <w:color w:val="auto"/>
        </w:rPr>
      </w:pPr>
      <w:r>
        <w:rPr>
          <w:rFonts w:ascii="Arial" w:cs="Arial" w:eastAsia="Arial" w:hAnsi="Arial"/>
          <w:sz w:val="14"/>
          <w:szCs w:val="14"/>
          <w:color w:val="0000EE"/>
        </w:rPr>
        <w:t>Table of Contents</w:t>
      </w:r>
    </w:p>
    <w:tbl>
      <w:tblPr>
        <w:tblLayout w:type="fixed"/>
        <w:tblInd w:w="1430" w:type="dxa"/>
        <w:tblCellMar>
          <w:top w:w="0" w:type="dxa"/>
          <w:left w:w="0" w:type="dxa"/>
          <w:bottom w:w="0" w:type="dxa"/>
          <w:right w:w="0" w:type="dxa"/>
        </w:tblCellMar>
      </w:tblPr>
      <w:tr>
        <w:trPr>
          <w:trHeight w:val="493"/>
        </w:trPr>
        <w:tc>
          <w:tcPr>
            <w:tcW w:w="60" w:type="dxa"/>
            <w:vAlign w:val="bottom"/>
            <w:tcBorders>
              <w:top w:val="single" w:sz="8" w:color="auto"/>
              <w:left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gridSpan w:val="4"/>
          </w:tcPr>
          <w:p>
            <w:pPr>
              <w:jc w:val="right"/>
              <w:ind w:right="720"/>
              <w:spacing w:after="0"/>
              <w:rPr>
                <w:sz w:val="20"/>
                <w:szCs w:val="20"/>
                <w:color w:val="auto"/>
              </w:rPr>
            </w:pPr>
            <w:r>
              <w:rPr>
                <w:rFonts w:ascii="Arial" w:cs="Arial" w:eastAsia="Arial" w:hAnsi="Arial"/>
                <w:sz w:val="11"/>
                <w:szCs w:val="11"/>
                <w:b w:val="1"/>
                <w:bCs w:val="1"/>
                <w:color w:val="auto"/>
              </w:rPr>
              <w:t>As of December 31, 2024</w:t>
            </w:r>
          </w:p>
        </w:tc>
        <w:tc>
          <w:tcPr>
            <w:tcW w:w="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Borders>
              <w:left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DSC</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8"/>
              </w:rPr>
              <w:t>VIEs and</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Borders>
              <w:left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Holdings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3"/>
              <w:spacing w:after="0" w:line="125" w:lineRule="exact"/>
              <w:rPr>
                <w:sz w:val="20"/>
                <w:szCs w:val="20"/>
                <w:color w:val="auto"/>
              </w:rPr>
            </w:pPr>
            <w:r>
              <w:rPr>
                <w:rFonts w:ascii="Arial" w:cs="Arial" w:eastAsia="Arial" w:hAnsi="Arial"/>
                <w:sz w:val="11"/>
                <w:szCs w:val="11"/>
                <w:b w:val="1"/>
                <w:bCs w:val="1"/>
                <w:color w:val="auto"/>
              </w:rPr>
              <w:t>their</w:t>
            </w:r>
          </w:p>
        </w:tc>
        <w:tc>
          <w:tcPr>
            <w:tcW w:w="760" w:type="dxa"/>
            <w:vAlign w:val="bottom"/>
          </w:tcPr>
          <w:p>
            <w:pPr>
              <w:jc w:val="right"/>
              <w:ind w:right="192"/>
              <w:spacing w:after="0" w:line="125" w:lineRule="exact"/>
              <w:rPr>
                <w:sz w:val="20"/>
                <w:szCs w:val="20"/>
                <w:color w:val="auto"/>
              </w:rPr>
            </w:pPr>
            <w:r>
              <w:rPr>
                <w:rFonts w:ascii="Arial" w:cs="Arial" w:eastAsia="Arial" w:hAnsi="Arial"/>
                <w:sz w:val="11"/>
                <w:szCs w:val="11"/>
                <w:b w:val="1"/>
                <w:bCs w:val="1"/>
                <w:color w:val="auto"/>
              </w:rPr>
              <w:t>Other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Borders>
              <w:left w:val="single" w:sz="8" w:color="auto"/>
            </w:tcBorders>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98"/>
              </w:rPr>
              <w:t>Ltd.</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WFOEs</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99"/>
              </w:rPr>
              <w:t>subsidiaries</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subsidiaries</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right"/>
              <w:ind w:right="152"/>
              <w:spacing w:after="0"/>
              <w:rPr>
                <w:sz w:val="20"/>
                <w:szCs w:val="20"/>
                <w:color w:val="auto"/>
              </w:rPr>
            </w:pPr>
            <w:r>
              <w:rPr>
                <w:rFonts w:ascii="Arial" w:cs="Arial" w:eastAsia="Arial" w:hAnsi="Arial"/>
                <w:sz w:val="11"/>
                <w:szCs w:val="11"/>
                <w:b w:val="1"/>
                <w:bCs w:val="1"/>
                <w:color w:val="auto"/>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assets:</w:t>
            </w:r>
          </w:p>
        </w:tc>
        <w:tc>
          <w:tcPr>
            <w:tcW w:w="64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Fixed assets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760" w:type="dxa"/>
            <w:vAlign w:val="bottom"/>
          </w:tcPr>
          <w:p>
            <w:pPr>
              <w:jc w:val="right"/>
              <w:spacing w:after="0"/>
              <w:rPr>
                <w:sz w:val="20"/>
                <w:szCs w:val="20"/>
                <w:color w:val="auto"/>
              </w:rPr>
            </w:pPr>
            <w:r>
              <w:rPr>
                <w:rFonts w:ascii="Arial" w:cs="Arial" w:eastAsia="Arial" w:hAnsi="Arial"/>
                <w:sz w:val="14"/>
                <w:szCs w:val="14"/>
                <w:color w:val="auto"/>
              </w:rPr>
              <w:t>744</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8,245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6,822</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6,835</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Contractual interests in</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VIEs and their</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subsidiaries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582,920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(582,920)</w:t>
            </w: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Investments-Subsidiaries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749,615</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65,023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(814,638)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7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Intangible assets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80,689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77,062</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(77,062)</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80,689</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lease right-of-</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use assets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7,221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8,619</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8,665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24,505</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Goodwill</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596,659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596,659</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Amounts due from</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parties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22,273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37,839</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151,407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211,519</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Other non-current assets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spacing w:after="0"/>
              <w:rPr>
                <w:sz w:val="20"/>
                <w:szCs w:val="20"/>
                <w:color w:val="auto"/>
              </w:rPr>
            </w:pPr>
            <w:r>
              <w:rPr>
                <w:rFonts w:ascii="Arial" w:cs="Arial" w:eastAsia="Arial" w:hAnsi="Arial"/>
                <w:sz w:val="14"/>
                <w:szCs w:val="14"/>
                <w:color w:val="auto"/>
              </w:rPr>
              <w:t>6,057</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5,126</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12,423</w:t>
            </w:r>
          </w:p>
        </w:tc>
        <w:tc>
          <w:tcPr>
            <w:tcW w:w="0" w:type="dxa"/>
            <w:vAlign w:val="bottom"/>
          </w:tcPr>
          <w:p>
            <w:pPr>
              <w:spacing w:after="0"/>
              <w:rPr>
                <w:sz w:val="1"/>
                <w:szCs w:val="1"/>
                <w:color w:val="auto"/>
              </w:rPr>
            </w:pPr>
          </w:p>
        </w:tc>
      </w:tr>
      <w:tr>
        <w:trPr>
          <w:trHeight w:val="125"/>
        </w:trPr>
        <w:tc>
          <w:tcPr>
            <w:tcW w:w="60" w:type="dxa"/>
            <w:vAlign w:val="bottom"/>
            <w:tcBorders>
              <w:left w:val="single" w:sz="8" w:color="auto"/>
            </w:tcBorders>
          </w:tcPr>
          <w:p>
            <w:pPr>
              <w:spacing w:after="0"/>
              <w:rPr>
                <w:sz w:val="10"/>
                <w:szCs w:val="10"/>
                <w:color w:val="auto"/>
              </w:rPr>
            </w:pPr>
          </w:p>
        </w:tc>
        <w:tc>
          <w:tcPr>
            <w:tcW w:w="16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Total non-current</w:t>
            </w:r>
          </w:p>
        </w:tc>
        <w:tc>
          <w:tcPr>
            <w:tcW w:w="64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assets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749,615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613,751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737,429</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315,541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4"/>
              </w:rPr>
              <w:t>(1,474,620)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941,716</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640" w:type="dxa"/>
            <w:vAlign w:val="bottom"/>
          </w:tcPr>
          <w:p>
            <w:pPr>
              <w:spacing w:after="0" w:line="117" w:lineRule="exact"/>
              <w:rPr>
                <w:sz w:val="20"/>
                <w:szCs w:val="20"/>
                <w:color w:val="auto"/>
              </w:rPr>
            </w:pPr>
            <w:r>
              <w:rPr>
                <w:rFonts w:ascii="Arial" w:cs="Arial" w:eastAsia="Arial" w:hAnsi="Arial"/>
                <w:sz w:val="13"/>
                <w:szCs w:val="13"/>
                <w:b w:val="1"/>
                <w:bCs w:val="1"/>
                <w:color w:val="auto"/>
              </w:rPr>
              <w:t>Amounts due from the</w:t>
            </w:r>
          </w:p>
        </w:tc>
        <w:tc>
          <w:tcPr>
            <w:tcW w:w="6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60" w:type="dxa"/>
            <w:vAlign w:val="bottom"/>
            <w:tcBorders>
              <w:left w:val="single" w:sz="8" w:color="auto"/>
            </w:tcBorders>
          </w:tcPr>
          <w:p>
            <w:pPr>
              <w:spacing w:after="0"/>
              <w:rPr>
                <w:sz w:val="17"/>
                <w:szCs w:val="17"/>
                <w:color w:val="auto"/>
              </w:rPr>
            </w:pPr>
          </w:p>
        </w:tc>
        <w:tc>
          <w:tcPr>
            <w:tcW w:w="1640" w:type="dxa"/>
            <w:vAlign w:val="bottom"/>
          </w:tcPr>
          <w:p>
            <w:pPr>
              <w:ind w:left="140"/>
              <w:spacing w:after="0"/>
              <w:rPr>
                <w:sz w:val="20"/>
                <w:szCs w:val="20"/>
                <w:color w:val="auto"/>
              </w:rPr>
            </w:pPr>
            <w:r>
              <w:rPr>
                <w:rFonts w:ascii="Arial" w:cs="Arial" w:eastAsia="Arial" w:hAnsi="Arial"/>
                <w:sz w:val="14"/>
                <w:szCs w:val="14"/>
                <w:b w:val="1"/>
                <w:bCs w:val="1"/>
                <w:color w:val="auto"/>
              </w:rPr>
              <w:t>entities within DSC</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160,931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886,611</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1,063,012</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(2,110,554)</w:t>
            </w: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left w:val="single" w:sz="8" w:color="auto"/>
            </w:tcBorders>
          </w:tcPr>
          <w:p>
            <w:pPr>
              <w:spacing w:after="0"/>
              <w:rPr>
                <w:sz w:val="16"/>
                <w:szCs w:val="16"/>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805,230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785,999</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1,840,721</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1,684,080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4"/>
              </w:rPr>
              <w:t>(3,585,174)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1,530,856</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vMerge w:val="restart"/>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left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64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Short-term loans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6,645</w:t>
            </w:r>
          </w:p>
        </w:tc>
        <w:tc>
          <w:tcPr>
            <w:tcW w:w="760" w:type="dxa"/>
            <w:vAlign w:val="bottom"/>
          </w:tcPr>
          <w:p>
            <w:pPr>
              <w:jc w:val="right"/>
              <w:spacing w:after="0"/>
              <w:rPr>
                <w:sz w:val="20"/>
                <w:szCs w:val="20"/>
                <w:color w:val="auto"/>
              </w:rPr>
            </w:pPr>
            <w:r>
              <w:rPr>
                <w:rFonts w:ascii="Arial" w:cs="Arial" w:eastAsia="Arial" w:hAnsi="Arial"/>
                <w:sz w:val="14"/>
                <w:szCs w:val="14"/>
                <w:color w:val="auto"/>
              </w:rPr>
              <w:t>59,969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40,855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107,469</w:t>
            </w:r>
          </w:p>
        </w:tc>
        <w:tc>
          <w:tcPr>
            <w:tcW w:w="0" w:type="dxa"/>
            <w:vAlign w:val="bottom"/>
          </w:tcPr>
          <w:p>
            <w:pPr>
              <w:spacing w:after="0"/>
              <w:rPr>
                <w:sz w:val="1"/>
                <w:szCs w:val="1"/>
                <w:color w:val="auto"/>
              </w:rPr>
            </w:pPr>
          </w:p>
        </w:tc>
      </w:tr>
      <w:tr>
        <w:trPr>
          <w:trHeight w:val="227"/>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547</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36,379</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19,737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56,663</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Contract liabilities and</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customer advance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517</w:t>
            </w:r>
          </w:p>
        </w:tc>
        <w:tc>
          <w:tcPr>
            <w:tcW w:w="760" w:type="dxa"/>
            <w:vAlign w:val="bottom"/>
          </w:tcPr>
          <w:p>
            <w:pPr>
              <w:jc w:val="right"/>
              <w:spacing w:after="0"/>
              <w:rPr>
                <w:sz w:val="20"/>
                <w:szCs w:val="20"/>
                <w:color w:val="auto"/>
              </w:rPr>
            </w:pPr>
            <w:r>
              <w:rPr>
                <w:rFonts w:ascii="Arial" w:cs="Arial" w:eastAsia="Arial" w:hAnsi="Arial"/>
                <w:sz w:val="14"/>
                <w:szCs w:val="14"/>
                <w:color w:val="auto"/>
              </w:rPr>
              <w:t>27,464</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26,489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54,470</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Amounts due to related</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1,752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Operating lease</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liabilities, current</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portion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1,969</w:t>
            </w:r>
          </w:p>
        </w:tc>
        <w:tc>
          <w:tcPr>
            <w:tcW w:w="760" w:type="dxa"/>
            <w:vAlign w:val="bottom"/>
          </w:tcPr>
          <w:p>
            <w:pPr>
              <w:jc w:val="right"/>
              <w:spacing w:after="0"/>
              <w:rPr>
                <w:sz w:val="20"/>
                <w:szCs w:val="20"/>
                <w:color w:val="auto"/>
              </w:rPr>
            </w:pPr>
            <w:r>
              <w:rPr>
                <w:rFonts w:ascii="Arial" w:cs="Arial" w:eastAsia="Arial" w:hAnsi="Arial"/>
                <w:sz w:val="14"/>
                <w:szCs w:val="14"/>
                <w:color w:val="auto"/>
              </w:rPr>
              <w:t>2,223</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4,067</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Accrued expenses and</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tcBorders>
          </w:tcPr>
          <w:p>
            <w:pPr>
              <w:spacing w:after="0"/>
              <w:rPr>
                <w:sz w:val="16"/>
                <w:szCs w:val="16"/>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127,682</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62,724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194,535</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rPr>
              <w:t>Total current liabilities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13,530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255,398</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155,624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424,829</w:t>
            </w:r>
          </w:p>
        </w:tc>
        <w:tc>
          <w:tcPr>
            <w:tcW w:w="0" w:type="dxa"/>
            <w:vAlign w:val="bottom"/>
          </w:tcPr>
          <w:p>
            <w:pPr>
              <w:spacing w:after="0"/>
              <w:rPr>
                <w:sz w:val="1"/>
                <w:szCs w:val="1"/>
                <w:color w:val="auto"/>
              </w:rPr>
            </w:pPr>
          </w:p>
        </w:tc>
      </w:tr>
      <w:tr>
        <w:trPr>
          <w:trHeight w:val="209"/>
        </w:trPr>
        <w:tc>
          <w:tcPr>
            <w:tcW w:w="60" w:type="dxa"/>
            <w:vAlign w:val="bottom"/>
            <w:tcBorders>
              <w:left w:val="single" w:sz="8" w:color="auto"/>
            </w:tcBorders>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liabilities</w:t>
            </w: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Amounts due to related</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parties, non-current</w:t>
            </w:r>
          </w:p>
        </w:tc>
        <w:tc>
          <w:tcPr>
            <w:tcW w:w="640" w:type="dxa"/>
            <w:vAlign w:val="bottom"/>
          </w:tcPr>
          <w:p>
            <w:pPr>
              <w:jc w:val="right"/>
              <w:spacing w:after="0"/>
              <w:rPr>
                <w:sz w:val="20"/>
                <w:szCs w:val="20"/>
                <w:color w:val="auto"/>
              </w:rPr>
            </w:pPr>
            <w:r>
              <w:rPr>
                <w:rFonts w:ascii="Arial" w:cs="Arial" w:eastAsia="Arial" w:hAnsi="Arial"/>
                <w:sz w:val="14"/>
                <w:szCs w:val="14"/>
                <w:color w:val="auto"/>
              </w:rPr>
              <w:t>4,706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114</w:t>
            </w:r>
          </w:p>
        </w:tc>
        <w:tc>
          <w:tcPr>
            <w:tcW w:w="760" w:type="dxa"/>
            <w:vAlign w:val="bottom"/>
          </w:tcPr>
          <w:p>
            <w:pPr>
              <w:jc w:val="right"/>
              <w:spacing w:after="0"/>
              <w:rPr>
                <w:sz w:val="20"/>
                <w:szCs w:val="20"/>
                <w:color w:val="auto"/>
              </w:rPr>
            </w:pPr>
            <w:r>
              <w:rPr>
                <w:rFonts w:ascii="Arial" w:cs="Arial" w:eastAsia="Arial" w:hAnsi="Arial"/>
                <w:sz w:val="14"/>
                <w:szCs w:val="14"/>
                <w:color w:val="auto"/>
              </w:rPr>
              <w:t>149,539</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125,177</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279,536</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lease</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5,681</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6,213</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5,806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17,700</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Borders>
              <w:left w:val="single" w:sz="8" w:color="auto"/>
            </w:tcBorders>
          </w:tcPr>
          <w:p>
            <w:pPr>
              <w:spacing w:after="0"/>
              <w:rPr>
                <w:sz w:val="11"/>
                <w:szCs w:val="11"/>
                <w:color w:val="auto"/>
              </w:rPr>
            </w:pPr>
          </w:p>
        </w:tc>
        <w:tc>
          <w:tcPr>
            <w:tcW w:w="1640" w:type="dxa"/>
            <w:vAlign w:val="bottom"/>
          </w:tcPr>
          <w:p>
            <w:pPr>
              <w:spacing w:after="0" w:line="137" w:lineRule="exact"/>
              <w:rPr>
                <w:sz w:val="20"/>
                <w:szCs w:val="20"/>
                <w:color w:val="auto"/>
              </w:rPr>
            </w:pPr>
            <w:r>
              <w:rPr>
                <w:rFonts w:ascii="Arial" w:cs="Arial" w:eastAsia="Arial" w:hAnsi="Arial"/>
                <w:sz w:val="14"/>
                <w:szCs w:val="14"/>
                <w:color w:val="auto"/>
              </w:rPr>
              <w:t>Other non-current</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auto"/>
            </w:tcBorders>
          </w:tcPr>
          <w:p>
            <w:pPr>
              <w:spacing w:after="0"/>
              <w:rPr>
                <w:sz w:val="16"/>
                <w:szCs w:val="16"/>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liability</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1,207</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6,408</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in excess of</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investments in</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366,958</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(366,958)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640" w:type="dxa"/>
            <w:vAlign w:val="bottom"/>
          </w:tcPr>
          <w:p>
            <w:pPr>
              <w:spacing w:after="0" w:line="117" w:lineRule="exact"/>
              <w:rPr>
                <w:sz w:val="20"/>
                <w:szCs w:val="20"/>
                <w:color w:val="auto"/>
              </w:rPr>
            </w:pPr>
            <w:r>
              <w:rPr>
                <w:rFonts w:ascii="Arial" w:cs="Arial" w:eastAsia="Arial" w:hAnsi="Arial"/>
                <w:sz w:val="13"/>
                <w:szCs w:val="13"/>
                <w:b w:val="1"/>
                <w:bCs w:val="1"/>
                <w:color w:val="auto"/>
              </w:rPr>
              <w:t>Total non-current</w:t>
            </w:r>
          </w:p>
        </w:tc>
        <w:tc>
          <w:tcPr>
            <w:tcW w:w="6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60" w:type="dxa"/>
            <w:vAlign w:val="bottom"/>
            <w:tcBorders>
              <w:left w:val="single" w:sz="8" w:color="auto"/>
            </w:tcBorders>
          </w:tcPr>
          <w:p>
            <w:pPr>
              <w:spacing w:after="0"/>
              <w:rPr>
                <w:sz w:val="17"/>
                <w:szCs w:val="17"/>
                <w:color w:val="auto"/>
              </w:rPr>
            </w:pPr>
          </w:p>
        </w:tc>
        <w:tc>
          <w:tcPr>
            <w:tcW w:w="1640" w:type="dxa"/>
            <w:vAlign w:val="bottom"/>
          </w:tcPr>
          <w:p>
            <w:pPr>
              <w:ind w:left="140"/>
              <w:spacing w:after="0"/>
              <w:rPr>
                <w:sz w:val="20"/>
                <w:szCs w:val="20"/>
                <w:color w:val="auto"/>
              </w:rPr>
            </w:pPr>
            <w:r>
              <w:rPr>
                <w:rFonts w:ascii="Arial" w:cs="Arial" w:eastAsia="Arial" w:hAnsi="Arial"/>
                <w:sz w:val="14"/>
                <w:szCs w:val="14"/>
                <w:b w:val="1"/>
                <w:bCs w:val="1"/>
                <w:color w:val="auto"/>
              </w:rPr>
              <w:t>liabilities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4,706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372,753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156,959</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137,391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(366,958)</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304,851</w:t>
            </w:r>
          </w:p>
        </w:tc>
        <w:tc>
          <w:tcPr>
            <w:tcW w:w="0" w:type="dxa"/>
            <w:vAlign w:val="bottom"/>
          </w:tcPr>
          <w:p>
            <w:pPr>
              <w:spacing w:after="0"/>
              <w:rPr>
                <w:sz w:val="1"/>
                <w:szCs w:val="1"/>
                <w:color w:val="auto"/>
              </w:rPr>
            </w:pPr>
          </w:p>
        </w:tc>
      </w:tr>
      <w:tr>
        <w:trPr>
          <w:trHeight w:val="123"/>
        </w:trPr>
        <w:tc>
          <w:tcPr>
            <w:tcW w:w="60" w:type="dxa"/>
            <w:vAlign w:val="bottom"/>
            <w:tcBorders>
              <w:left w:val="single" w:sz="8" w:color="auto"/>
            </w:tcBorders>
          </w:tcPr>
          <w:p>
            <w:pPr>
              <w:spacing w:after="0"/>
              <w:rPr>
                <w:sz w:val="10"/>
                <w:szCs w:val="10"/>
                <w:color w:val="auto"/>
              </w:rPr>
            </w:pPr>
          </w:p>
        </w:tc>
        <w:tc>
          <w:tcPr>
            <w:tcW w:w="16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Amounts due to the</w:t>
            </w:r>
          </w:p>
        </w:tc>
        <w:tc>
          <w:tcPr>
            <w:tcW w:w="64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60" w:type="dxa"/>
            <w:vAlign w:val="bottom"/>
            <w:tcBorders>
              <w:left w:val="single" w:sz="8" w:color="auto"/>
            </w:tcBorders>
          </w:tcPr>
          <w:p>
            <w:pPr>
              <w:spacing w:after="0"/>
              <w:rPr>
                <w:sz w:val="17"/>
                <w:szCs w:val="17"/>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entities within DSC</w:t>
            </w:r>
            <w:r>
              <w:rPr>
                <w:rFonts w:ascii="Arial" w:cs="Arial" w:eastAsia="Arial" w:hAnsi="Arial"/>
                <w:sz w:val="16"/>
                <w:szCs w:val="16"/>
                <w:b w:val="1"/>
                <w:bCs w:val="1"/>
                <w:color w:val="auto"/>
                <w:vertAlign w:val="superscript"/>
              </w:rPr>
              <w:t>(1)</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386,169</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845,444</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1,079,079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(2,310,692)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Borders>
              <w:left w:val="single" w:sz="8" w:color="auto"/>
            </w:tcBorders>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4,983</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772,452</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1,257,801</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1,372,094</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(2,677,650)</w:t>
            </w:r>
          </w:p>
        </w:tc>
        <w:tc>
          <w:tcPr>
            <w:tcW w:w="9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729,680</w:t>
            </w:r>
          </w:p>
        </w:tc>
        <w:tc>
          <w:tcPr>
            <w:tcW w:w="0" w:type="dxa"/>
            <w:vAlign w:val="bottom"/>
          </w:tcPr>
          <w:p>
            <w:pPr>
              <w:spacing w:after="0"/>
              <w:rPr>
                <w:sz w:val="1"/>
                <w:szCs w:val="1"/>
                <w:color w:val="auto"/>
              </w:rPr>
            </w:pPr>
          </w:p>
        </w:tc>
      </w:tr>
      <w:tr>
        <w:trPr>
          <w:trHeight w:val="128"/>
        </w:trPr>
        <w:tc>
          <w:tcPr>
            <w:tcW w:w="60" w:type="dxa"/>
            <w:vAlign w:val="bottom"/>
            <w:tcBorders>
              <w:left w:val="single" w:sz="8" w:color="auto"/>
            </w:tcBorders>
          </w:tcPr>
          <w:p>
            <w:pPr>
              <w:spacing w:after="0"/>
              <w:rPr>
                <w:sz w:val="11"/>
                <w:szCs w:val="11"/>
                <w:color w:val="auto"/>
              </w:rPr>
            </w:pPr>
          </w:p>
        </w:tc>
        <w:tc>
          <w:tcPr>
            <w:tcW w:w="16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mezzanine equity</w:t>
            </w:r>
          </w:p>
        </w:tc>
        <w:tc>
          <w:tcPr>
            <w:tcW w:w="640" w:type="dxa"/>
            <w:vAlign w:val="bottom"/>
            <w:tcBorders>
              <w:top w:val="single" w:sz="8" w:color="auto"/>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b w:val="1"/>
                <w:bCs w:val="1"/>
                <w:color w:val="auto"/>
              </w:rPr>
              <w:t>and shareholders`</w:t>
            </w:r>
          </w:p>
        </w:tc>
        <w:tc>
          <w:tcPr>
            <w:tcW w:w="6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1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deficit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800,247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13,547</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582,920</w:t>
            </w:r>
          </w:p>
        </w:tc>
        <w:tc>
          <w:tcPr>
            <w:tcW w:w="7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311,986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(907,524)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801,176</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bottom w:val="single" w:sz="8" w:color="auto"/>
            </w:tcBorders>
          </w:tcPr>
          <w:p>
            <w:pPr>
              <w:spacing w:after="0"/>
              <w:rPr>
                <w:sz w:val="21"/>
                <w:szCs w:val="21"/>
                <w:color w:val="auto"/>
              </w:rPr>
            </w:pPr>
          </w:p>
        </w:tc>
        <w:tc>
          <w:tcPr>
            <w:tcW w:w="1640" w:type="dxa"/>
            <w:vAlign w:val="bottom"/>
            <w:tcBorders>
              <w:top w:val="single" w:sz="8" w:color="CCEEFF"/>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w w:val="89"/>
              </w:rPr>
              <w:t>36</w:t>
            </w: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23" w:right="1440" w:bottom="1440" w:gutter="0" w:footer="0" w:header="0"/>
        </w:sectPr>
      </w:pPr>
    </w:p>
    <w:bookmarkStart w:id="45" w:name="page46"/>
    <w:bookmarkEnd w:id="4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5652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59225" cy="5652770"/>
                    </a:xfrm>
                    <a:prstGeom prst="rect">
                      <a:avLst/>
                    </a:prstGeom>
                    <a:noFill/>
                  </pic:spPr>
                </pic:pic>
              </a:graphicData>
            </a:graphic>
          </wp:anchor>
        </w:drawing>
      </w:r>
    </w:p>
    <w:p>
      <w:pPr>
        <w:spacing w:after="0" w:line="288"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Summary of consolidating statements of income data</w:t>
      </w:r>
    </w:p>
    <w:p>
      <w:pPr>
        <w:spacing w:after="0" w:line="19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12"/>
          </w:tcPr>
          <w:p>
            <w:pPr>
              <w:jc w:val="right"/>
              <w:ind w:right="278"/>
              <w:spacing w:after="0"/>
              <w:rPr>
                <w:sz w:val="20"/>
                <w:szCs w:val="20"/>
                <w:color w:val="auto"/>
              </w:rPr>
            </w:pPr>
            <w:r>
              <w:rPr>
                <w:rFonts w:ascii="Arial" w:cs="Arial" w:eastAsia="Arial" w:hAnsi="Arial"/>
                <w:sz w:val="11"/>
                <w:szCs w:val="11"/>
                <w:b w:val="1"/>
                <w:bCs w:val="1"/>
                <w:color w:val="auto"/>
              </w:rPr>
              <w:t>For the Year Ended December 31, 2025</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DSC</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VIEs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5"/>
        </w:trPr>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Holdings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their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WFOEs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subsidiaries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Consolidated</w:t>
            </w:r>
          </w:p>
        </w:tc>
        <w:tc>
          <w:tcPr>
            <w:tcW w:w="80" w:type="dxa"/>
            <w:vAlign w:val="bottom"/>
            <w:gridSpan w:val="2"/>
          </w:tcPr>
          <w:p>
            <w:pPr>
              <w:spacing w:after="0"/>
              <w:rPr>
                <w:sz w:val="13"/>
                <w:szCs w:val="13"/>
                <w:color w:val="auto"/>
              </w:rPr>
            </w:pPr>
          </w:p>
        </w:tc>
      </w:tr>
      <w:tr>
        <w:trPr>
          <w:trHeight w:val="192"/>
        </w:trPr>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5"/>
          </w:tcPr>
          <w:p>
            <w:pPr>
              <w:jc w:val="right"/>
              <w:ind w:right="145"/>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6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External parties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revenues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45"/>
              <w:spacing w:after="0"/>
              <w:rPr>
                <w:sz w:val="20"/>
                <w:szCs w:val="20"/>
                <w:color w:val="auto"/>
              </w:rPr>
            </w:pPr>
            <w:r>
              <w:rPr>
                <w:rFonts w:ascii="Arial" w:cs="Arial" w:eastAsia="Arial" w:hAnsi="Arial"/>
                <w:sz w:val="14"/>
                <w:szCs w:val="14"/>
                <w:color w:val="auto"/>
              </w:rPr>
              <w:t>294</w:t>
            </w:r>
          </w:p>
        </w:tc>
        <w:tc>
          <w:tcPr>
            <w:tcW w:w="760" w:type="dxa"/>
            <w:vAlign w:val="bottom"/>
            <w:gridSpan w:val="4"/>
            <w:shd w:val="clear" w:color="auto" w:fill="CCEEFF"/>
          </w:tcPr>
          <w:p>
            <w:pPr>
              <w:jc w:val="right"/>
              <w:ind w:right="42"/>
              <w:spacing w:after="0"/>
              <w:rPr>
                <w:sz w:val="20"/>
                <w:szCs w:val="20"/>
                <w:color w:val="auto"/>
              </w:rPr>
            </w:pPr>
            <w:r>
              <w:rPr>
                <w:rFonts w:ascii="Arial" w:cs="Arial" w:eastAsia="Arial" w:hAnsi="Arial"/>
                <w:sz w:val="14"/>
                <w:szCs w:val="14"/>
                <w:color w:val="auto"/>
              </w:rPr>
              <w:t>309,132</w:t>
            </w:r>
          </w:p>
        </w:tc>
        <w:tc>
          <w:tcPr>
            <w:tcW w:w="780" w:type="dxa"/>
            <w:vAlign w:val="bottom"/>
            <w:gridSpan w:val="4"/>
            <w:shd w:val="clear" w:color="auto" w:fill="CCEEFF"/>
          </w:tcPr>
          <w:p>
            <w:pPr>
              <w:jc w:val="right"/>
              <w:ind w:right="45"/>
              <w:spacing w:after="0"/>
              <w:rPr>
                <w:sz w:val="20"/>
                <w:szCs w:val="20"/>
                <w:color w:val="auto"/>
              </w:rPr>
            </w:pPr>
            <w:r>
              <w:rPr>
                <w:rFonts w:ascii="Arial" w:cs="Arial" w:eastAsia="Arial" w:hAnsi="Arial"/>
                <w:sz w:val="14"/>
                <w:szCs w:val="14"/>
                <w:color w:val="auto"/>
              </w:rPr>
              <w:t>367,633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677,059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Intra-group revenues</w:t>
            </w:r>
            <w:r>
              <w:rPr>
                <w:rFonts w:ascii="Arial" w:cs="Arial" w:eastAsia="Arial" w:hAnsi="Arial"/>
                <w:sz w:val="16"/>
                <w:szCs w:val="16"/>
                <w:b w:val="1"/>
                <w:bCs w:val="1"/>
                <w:color w:val="auto"/>
                <w:vertAlign w:val="superscript"/>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45"/>
              <w:spacing w:after="0"/>
              <w:rPr>
                <w:sz w:val="20"/>
                <w:szCs w:val="20"/>
                <w:color w:val="auto"/>
              </w:rPr>
            </w:pPr>
            <w:r>
              <w:rPr>
                <w:rFonts w:ascii="Arial" w:cs="Arial" w:eastAsia="Arial" w:hAnsi="Arial"/>
                <w:sz w:val="14"/>
                <w:szCs w:val="14"/>
                <w:color w:val="auto"/>
              </w:rPr>
              <w:t>6,672</w:t>
            </w:r>
          </w:p>
        </w:tc>
        <w:tc>
          <w:tcPr>
            <w:tcW w:w="760" w:type="dxa"/>
            <w:vAlign w:val="bottom"/>
            <w:gridSpan w:val="4"/>
          </w:tcPr>
          <w:p>
            <w:pPr>
              <w:jc w:val="right"/>
              <w:ind w:right="42"/>
              <w:spacing w:after="0"/>
              <w:rPr>
                <w:sz w:val="20"/>
                <w:szCs w:val="20"/>
                <w:color w:val="auto"/>
              </w:rPr>
            </w:pPr>
            <w:r>
              <w:rPr>
                <w:rFonts w:ascii="Arial" w:cs="Arial" w:eastAsia="Arial" w:hAnsi="Arial"/>
                <w:sz w:val="14"/>
                <w:szCs w:val="14"/>
                <w:color w:val="auto"/>
              </w:rPr>
              <w:t>95,636</w:t>
            </w:r>
          </w:p>
        </w:tc>
        <w:tc>
          <w:tcPr>
            <w:tcW w:w="780" w:type="dxa"/>
            <w:vAlign w:val="bottom"/>
            <w:gridSpan w:val="4"/>
          </w:tcPr>
          <w:p>
            <w:pPr>
              <w:jc w:val="right"/>
              <w:ind w:right="45"/>
              <w:spacing w:after="0"/>
              <w:rPr>
                <w:sz w:val="20"/>
                <w:szCs w:val="20"/>
                <w:color w:val="auto"/>
              </w:rPr>
            </w:pPr>
            <w:r>
              <w:rPr>
                <w:rFonts w:ascii="Arial" w:cs="Arial" w:eastAsia="Arial" w:hAnsi="Arial"/>
                <w:sz w:val="14"/>
                <w:szCs w:val="14"/>
                <w:color w:val="auto"/>
              </w:rPr>
              <w:t>59,286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(161,594)</w:t>
            </w:r>
          </w:p>
        </w:tc>
        <w:tc>
          <w:tcPr>
            <w:tcW w:w="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137"/>
        </w:trPr>
        <w:tc>
          <w:tcPr>
            <w:tcW w:w="60" w:type="dxa"/>
            <w:vAlign w:val="bottom"/>
          </w:tcPr>
          <w:p>
            <w:pPr>
              <w:spacing w:after="0"/>
              <w:rPr>
                <w:sz w:val="11"/>
                <w:szCs w:val="11"/>
                <w:color w:val="auto"/>
              </w:rPr>
            </w:pPr>
          </w:p>
        </w:tc>
        <w:tc>
          <w:tcPr>
            <w:tcW w:w="160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Total costs and</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68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(11,809)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(430,700)</w:t>
            </w:r>
          </w:p>
        </w:tc>
        <w:tc>
          <w:tcPr>
            <w:tcW w:w="78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(471,162)</w:t>
            </w:r>
          </w:p>
        </w:tc>
        <w:tc>
          <w:tcPr>
            <w:tcW w:w="780" w:type="dxa"/>
            <w:vAlign w:val="bottom"/>
            <w:gridSpan w:val="3"/>
            <w:shd w:val="clear" w:color="auto" w:fill="CCEEFF"/>
          </w:tcPr>
          <w:p>
            <w:pPr>
              <w:jc w:val="right"/>
              <w:ind w:right="38"/>
              <w:spacing w:after="0"/>
              <w:rPr>
                <w:sz w:val="20"/>
                <w:szCs w:val="20"/>
                <w:color w:val="auto"/>
              </w:rPr>
            </w:pPr>
            <w:r>
              <w:rPr>
                <w:rFonts w:ascii="Arial" w:cs="Arial" w:eastAsia="Arial" w:hAnsi="Arial"/>
                <w:sz w:val="14"/>
                <w:szCs w:val="14"/>
                <w:color w:val="auto"/>
              </w:rPr>
              <w:t>135,304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(778,993)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60" w:type="dxa"/>
            <w:vAlign w:val="bottom"/>
          </w:tcPr>
          <w:p>
            <w:pPr>
              <w:spacing w:after="0"/>
              <w:rPr>
                <w:sz w:val="11"/>
                <w:szCs w:val="11"/>
                <w:color w:val="auto"/>
              </w:rPr>
            </w:pPr>
          </w:p>
        </w:tc>
        <w:tc>
          <w:tcPr>
            <w:tcW w:w="1600" w:type="dxa"/>
            <w:vAlign w:val="bottom"/>
          </w:tcPr>
          <w:p>
            <w:pPr>
              <w:spacing w:after="0" w:line="137" w:lineRule="exact"/>
              <w:rPr>
                <w:sz w:val="20"/>
                <w:szCs w:val="20"/>
                <w:color w:val="auto"/>
              </w:rPr>
            </w:pPr>
            <w:r>
              <w:rPr>
                <w:rFonts w:ascii="Arial" w:cs="Arial" w:eastAsia="Arial" w:hAnsi="Arial"/>
                <w:sz w:val="14"/>
                <w:szCs w:val="14"/>
                <w:b w:val="1"/>
                <w:bCs w:val="1"/>
                <w:color w:val="auto"/>
              </w:rPr>
              <w:t>Share of loss from</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60" w:type="dxa"/>
            <w:vAlign w:val="bottom"/>
          </w:tcPr>
          <w:p>
            <w:pPr>
              <w:spacing w:after="0"/>
              <w:rPr>
                <w:sz w:val="13"/>
                <w:szCs w:val="13"/>
                <w:color w:val="auto"/>
              </w:rPr>
            </w:pPr>
          </w:p>
        </w:tc>
        <w:tc>
          <w:tcPr>
            <w:tcW w:w="16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w w:val="99"/>
              </w:rPr>
              <w:t>subsidiaries, the VIEs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60" w:type="dxa"/>
            <w:vAlign w:val="bottom"/>
          </w:tcPr>
          <w:p>
            <w:pPr>
              <w:spacing w:after="0"/>
              <w:rPr>
                <w:sz w:val="17"/>
                <w:szCs w:val="17"/>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w w:val="99"/>
              </w:rPr>
              <w:t>and their subsidiaries</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(95,644)</w:t>
            </w:r>
          </w:p>
        </w:tc>
        <w:tc>
          <w:tcPr>
            <w:tcW w:w="680" w:type="dxa"/>
            <w:vAlign w:val="bottom"/>
            <w:gridSpan w:val="4"/>
          </w:tcPr>
          <w:p>
            <w:pPr>
              <w:jc w:val="right"/>
              <w:ind w:right="5"/>
              <w:spacing w:after="0"/>
              <w:rPr>
                <w:sz w:val="20"/>
                <w:szCs w:val="20"/>
                <w:color w:val="auto"/>
              </w:rPr>
            </w:pPr>
            <w:r>
              <w:rPr>
                <w:rFonts w:ascii="Arial" w:cs="Arial" w:eastAsia="Arial" w:hAnsi="Arial"/>
                <w:sz w:val="14"/>
                <w:szCs w:val="14"/>
                <w:color w:val="auto"/>
              </w:rPr>
              <w:t>(75,552)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5"/>
              <w:spacing w:after="0"/>
              <w:rPr>
                <w:sz w:val="20"/>
                <w:szCs w:val="20"/>
                <w:color w:val="auto"/>
              </w:rPr>
            </w:pPr>
            <w:r>
              <w:rPr>
                <w:rFonts w:ascii="Arial" w:cs="Arial" w:eastAsia="Arial" w:hAnsi="Arial"/>
                <w:sz w:val="14"/>
                <w:szCs w:val="14"/>
                <w:color w:val="auto"/>
              </w:rPr>
              <w:t>(80,261)</w:t>
            </w:r>
          </w:p>
        </w:tc>
        <w:tc>
          <w:tcPr>
            <w:tcW w:w="780" w:type="dxa"/>
            <w:vAlign w:val="bottom"/>
            <w:gridSpan w:val="3"/>
          </w:tcPr>
          <w:p>
            <w:pPr>
              <w:jc w:val="right"/>
              <w:ind w:right="38"/>
              <w:spacing w:after="0"/>
              <w:rPr>
                <w:sz w:val="20"/>
                <w:szCs w:val="20"/>
                <w:color w:val="auto"/>
              </w:rPr>
            </w:pPr>
            <w:r>
              <w:rPr>
                <w:rFonts w:ascii="Arial" w:cs="Arial" w:eastAsia="Arial" w:hAnsi="Arial"/>
                <w:sz w:val="14"/>
                <w:szCs w:val="14"/>
                <w:color w:val="auto"/>
              </w:rPr>
              <w:t>251,457</w:t>
            </w:r>
          </w:p>
        </w:tc>
        <w:tc>
          <w:tcPr>
            <w:tcW w:w="8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224"/>
        </w:trPr>
        <w:tc>
          <w:tcPr>
            <w:tcW w:w="60" w:type="dxa"/>
            <w:vAlign w:val="bottom"/>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(95,050)</w:t>
            </w:r>
          </w:p>
        </w:tc>
        <w:tc>
          <w:tcPr>
            <w:tcW w:w="68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(80,261)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(25,475)</w:t>
            </w:r>
          </w:p>
        </w:tc>
        <w:tc>
          <w:tcPr>
            <w:tcW w:w="780" w:type="dxa"/>
            <w:vAlign w:val="bottom"/>
            <w:gridSpan w:val="4"/>
            <w:shd w:val="clear" w:color="auto" w:fill="CCEEFF"/>
          </w:tcPr>
          <w:p>
            <w:pPr>
              <w:jc w:val="right"/>
              <w:ind w:right="5"/>
              <w:spacing w:after="0"/>
              <w:rPr>
                <w:sz w:val="20"/>
                <w:szCs w:val="20"/>
                <w:color w:val="auto"/>
              </w:rPr>
            </w:pPr>
            <w:r>
              <w:rPr>
                <w:rFonts w:ascii="Arial" w:cs="Arial" w:eastAsia="Arial" w:hAnsi="Arial"/>
                <w:sz w:val="14"/>
                <w:szCs w:val="14"/>
                <w:color w:val="auto"/>
              </w:rPr>
              <w:t>(118,940)</w:t>
            </w:r>
          </w:p>
        </w:tc>
        <w:tc>
          <w:tcPr>
            <w:tcW w:w="780" w:type="dxa"/>
            <w:vAlign w:val="bottom"/>
            <w:gridSpan w:val="3"/>
            <w:shd w:val="clear" w:color="auto" w:fill="CCEEFF"/>
          </w:tcPr>
          <w:p>
            <w:pPr>
              <w:jc w:val="right"/>
              <w:ind w:right="38"/>
              <w:spacing w:after="0"/>
              <w:rPr>
                <w:sz w:val="20"/>
                <w:szCs w:val="20"/>
                <w:color w:val="auto"/>
              </w:rPr>
            </w:pPr>
            <w:r>
              <w:rPr>
                <w:rFonts w:ascii="Arial" w:cs="Arial" w:eastAsia="Arial" w:hAnsi="Arial"/>
                <w:sz w:val="14"/>
                <w:szCs w:val="14"/>
                <w:color w:val="auto"/>
              </w:rPr>
              <w:t>225,167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(94,559)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7"/>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2"/>
          </w:tcPr>
          <w:p>
            <w:pPr>
              <w:jc w:val="center"/>
              <w:ind w:left="85"/>
              <w:spacing w:after="0"/>
              <w:rPr>
                <w:sz w:val="20"/>
                <w:szCs w:val="20"/>
                <w:color w:val="auto"/>
              </w:rPr>
            </w:pPr>
            <w:r>
              <w:rPr>
                <w:rFonts w:ascii="Arial" w:cs="Arial" w:eastAsia="Arial" w:hAnsi="Arial"/>
                <w:sz w:val="11"/>
                <w:szCs w:val="11"/>
                <w:b w:val="1"/>
                <w:bCs w:val="1"/>
                <w:color w:val="auto"/>
              </w:rPr>
              <w:t>For the Year Ended December 31, 2024</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DSC</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VIEs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5"/>
        </w:trPr>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Holdings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their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WFOEs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Consolidated</w:t>
            </w:r>
          </w:p>
        </w:tc>
        <w:tc>
          <w:tcPr>
            <w:tcW w:w="80" w:type="dxa"/>
            <w:vAlign w:val="bottom"/>
            <w:gridSpan w:val="2"/>
          </w:tcPr>
          <w:p>
            <w:pPr>
              <w:spacing w:after="0"/>
              <w:rPr>
                <w:sz w:val="13"/>
                <w:szCs w:val="13"/>
                <w:color w:val="auto"/>
              </w:rPr>
            </w:pPr>
          </w:p>
        </w:tc>
      </w:tr>
      <w:tr>
        <w:trPr>
          <w:trHeight w:val="202"/>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5"/>
          </w:tcPr>
          <w:p>
            <w:pPr>
              <w:jc w:val="center"/>
              <w:ind w:left="182"/>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6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External parties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revenues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2,835</w:t>
            </w:r>
          </w:p>
        </w:tc>
        <w:tc>
          <w:tcPr>
            <w:tcW w:w="760" w:type="dxa"/>
            <w:vAlign w:val="bottom"/>
            <w:gridSpan w:val="4"/>
            <w:shd w:val="clear" w:color="auto" w:fill="CCEEFF"/>
          </w:tcPr>
          <w:p>
            <w:pPr>
              <w:jc w:val="right"/>
              <w:ind w:right="22"/>
              <w:spacing w:after="0"/>
              <w:rPr>
                <w:sz w:val="20"/>
                <w:szCs w:val="20"/>
                <w:color w:val="auto"/>
              </w:rPr>
            </w:pPr>
            <w:r>
              <w:rPr>
                <w:rFonts w:ascii="Arial" w:cs="Arial" w:eastAsia="Arial" w:hAnsi="Arial"/>
                <w:sz w:val="14"/>
                <w:szCs w:val="14"/>
                <w:color w:val="auto"/>
              </w:rPr>
              <w:t>341,071</w:t>
            </w:r>
          </w:p>
        </w:tc>
        <w:tc>
          <w:tcPr>
            <w:tcW w:w="7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604,321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948,227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Intra-group revenues</w:t>
            </w:r>
            <w:r>
              <w:rPr>
                <w:rFonts w:ascii="Arial" w:cs="Arial" w:eastAsia="Arial" w:hAnsi="Arial"/>
                <w:sz w:val="16"/>
                <w:szCs w:val="16"/>
                <w:b w:val="1"/>
                <w:bCs w:val="1"/>
                <w:color w:val="auto"/>
                <w:vertAlign w:val="superscript"/>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25"/>
              <w:spacing w:after="0"/>
              <w:rPr>
                <w:sz w:val="20"/>
                <w:szCs w:val="20"/>
                <w:color w:val="auto"/>
              </w:rPr>
            </w:pPr>
            <w:r>
              <w:rPr>
                <w:rFonts w:ascii="Arial" w:cs="Arial" w:eastAsia="Arial" w:hAnsi="Arial"/>
                <w:sz w:val="14"/>
                <w:szCs w:val="14"/>
                <w:color w:val="auto"/>
              </w:rPr>
              <w:t>14,849</w:t>
            </w:r>
          </w:p>
        </w:tc>
        <w:tc>
          <w:tcPr>
            <w:tcW w:w="760" w:type="dxa"/>
            <w:vAlign w:val="bottom"/>
            <w:gridSpan w:val="4"/>
          </w:tcPr>
          <w:p>
            <w:pPr>
              <w:jc w:val="right"/>
              <w:ind w:right="22"/>
              <w:spacing w:after="0"/>
              <w:rPr>
                <w:sz w:val="20"/>
                <w:szCs w:val="20"/>
                <w:color w:val="auto"/>
              </w:rPr>
            </w:pPr>
            <w:r>
              <w:rPr>
                <w:rFonts w:ascii="Arial" w:cs="Arial" w:eastAsia="Arial" w:hAnsi="Arial"/>
                <w:sz w:val="14"/>
                <w:szCs w:val="14"/>
                <w:color w:val="auto"/>
              </w:rPr>
              <w:t>58,124</w:t>
            </w:r>
          </w:p>
        </w:tc>
        <w:tc>
          <w:tcPr>
            <w:tcW w:w="780" w:type="dxa"/>
            <w:vAlign w:val="bottom"/>
            <w:gridSpan w:val="4"/>
          </w:tcPr>
          <w:p>
            <w:pPr>
              <w:jc w:val="right"/>
              <w:ind w:right="25"/>
              <w:spacing w:after="0"/>
              <w:rPr>
                <w:sz w:val="20"/>
                <w:szCs w:val="20"/>
                <w:color w:val="auto"/>
              </w:rPr>
            </w:pPr>
            <w:r>
              <w:rPr>
                <w:rFonts w:ascii="Arial" w:cs="Arial" w:eastAsia="Arial" w:hAnsi="Arial"/>
                <w:sz w:val="14"/>
                <w:szCs w:val="14"/>
                <w:color w:val="auto"/>
              </w:rPr>
              <w:t>85,271</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(158,244)</w:t>
            </w:r>
          </w:p>
        </w:tc>
        <w:tc>
          <w:tcPr>
            <w:tcW w:w="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137"/>
        </w:trPr>
        <w:tc>
          <w:tcPr>
            <w:tcW w:w="60" w:type="dxa"/>
            <w:vAlign w:val="bottom"/>
          </w:tcPr>
          <w:p>
            <w:pPr>
              <w:spacing w:after="0"/>
              <w:rPr>
                <w:sz w:val="11"/>
                <w:szCs w:val="11"/>
                <w:color w:val="auto"/>
              </w:rPr>
            </w:pPr>
          </w:p>
        </w:tc>
        <w:tc>
          <w:tcPr>
            <w:tcW w:w="160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Total costs and</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(32,731)</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(395,664)</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(784,626)</w:t>
            </w:r>
          </w:p>
        </w:tc>
        <w:tc>
          <w:tcPr>
            <w:tcW w:w="780" w:type="dxa"/>
            <w:vAlign w:val="bottom"/>
            <w:gridSpan w:val="3"/>
            <w:shd w:val="clear" w:color="auto" w:fill="CCEEFF"/>
          </w:tcPr>
          <w:p>
            <w:pPr>
              <w:jc w:val="right"/>
              <w:ind w:right="38"/>
              <w:spacing w:after="0"/>
              <w:rPr>
                <w:sz w:val="20"/>
                <w:szCs w:val="20"/>
                <w:color w:val="auto"/>
              </w:rPr>
            </w:pPr>
            <w:r>
              <w:rPr>
                <w:rFonts w:ascii="Arial" w:cs="Arial" w:eastAsia="Arial" w:hAnsi="Arial"/>
                <w:sz w:val="14"/>
                <w:szCs w:val="14"/>
                <w:color w:val="auto"/>
              </w:rPr>
              <w:t>76,987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(1,136,777)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60" w:type="dxa"/>
            <w:vAlign w:val="bottom"/>
          </w:tcPr>
          <w:p>
            <w:pPr>
              <w:spacing w:after="0"/>
              <w:rPr>
                <w:sz w:val="11"/>
                <w:szCs w:val="11"/>
                <w:color w:val="auto"/>
              </w:rPr>
            </w:pPr>
          </w:p>
        </w:tc>
        <w:tc>
          <w:tcPr>
            <w:tcW w:w="1600" w:type="dxa"/>
            <w:vAlign w:val="bottom"/>
          </w:tcPr>
          <w:p>
            <w:pPr>
              <w:spacing w:after="0" w:line="137" w:lineRule="exact"/>
              <w:rPr>
                <w:sz w:val="20"/>
                <w:szCs w:val="20"/>
                <w:color w:val="auto"/>
              </w:rPr>
            </w:pPr>
            <w:r>
              <w:rPr>
                <w:rFonts w:ascii="Arial" w:cs="Arial" w:eastAsia="Arial" w:hAnsi="Arial"/>
                <w:sz w:val="14"/>
                <w:szCs w:val="14"/>
                <w:b w:val="1"/>
                <w:bCs w:val="1"/>
                <w:color w:val="auto"/>
              </w:rPr>
              <w:t>Share of (loss) gain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60" w:type="dxa"/>
            <w:vAlign w:val="bottom"/>
          </w:tcPr>
          <w:p>
            <w:pPr>
              <w:spacing w:after="0"/>
              <w:rPr>
                <w:sz w:val="13"/>
                <w:szCs w:val="13"/>
                <w:color w:val="auto"/>
              </w:rPr>
            </w:pPr>
          </w:p>
        </w:tc>
        <w:tc>
          <w:tcPr>
            <w:tcW w:w="16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from subsidiaries,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16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the VIE and their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60" w:type="dxa"/>
            <w:vAlign w:val="bottom"/>
          </w:tcPr>
          <w:p>
            <w:pPr>
              <w:spacing w:after="0"/>
              <w:rPr>
                <w:sz w:val="17"/>
                <w:szCs w:val="17"/>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subsidiaries</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(153,733)</w:t>
            </w:r>
          </w:p>
        </w:tc>
        <w:tc>
          <w:tcPr>
            <w:tcW w:w="680" w:type="dxa"/>
            <w:vAlign w:val="bottom"/>
            <w:gridSpan w:val="4"/>
          </w:tcPr>
          <w:p>
            <w:pPr>
              <w:jc w:val="right"/>
              <w:ind w:right="25"/>
              <w:spacing w:after="0"/>
              <w:rPr>
                <w:sz w:val="20"/>
                <w:szCs w:val="20"/>
                <w:color w:val="auto"/>
              </w:rPr>
            </w:pPr>
            <w:r>
              <w:rPr>
                <w:rFonts w:ascii="Arial" w:cs="Arial" w:eastAsia="Arial" w:hAnsi="Arial"/>
                <w:sz w:val="14"/>
                <w:szCs w:val="14"/>
                <w:color w:val="auto"/>
              </w:rPr>
              <w:t>29,320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(13,696)</w:t>
            </w:r>
          </w:p>
        </w:tc>
        <w:tc>
          <w:tcPr>
            <w:tcW w:w="780" w:type="dxa"/>
            <w:vAlign w:val="bottom"/>
            <w:gridSpan w:val="3"/>
          </w:tcPr>
          <w:p>
            <w:pPr>
              <w:jc w:val="right"/>
              <w:ind w:right="38"/>
              <w:spacing w:after="0"/>
              <w:rPr>
                <w:sz w:val="20"/>
                <w:szCs w:val="20"/>
                <w:color w:val="auto"/>
              </w:rPr>
            </w:pPr>
            <w:r>
              <w:rPr>
                <w:rFonts w:ascii="Arial" w:cs="Arial" w:eastAsia="Arial" w:hAnsi="Arial"/>
                <w:sz w:val="14"/>
                <w:szCs w:val="14"/>
                <w:color w:val="auto"/>
              </w:rPr>
              <w:t>138,109</w:t>
            </w:r>
          </w:p>
        </w:tc>
        <w:tc>
          <w:tcPr>
            <w:tcW w:w="8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224"/>
        </w:trPr>
        <w:tc>
          <w:tcPr>
            <w:tcW w:w="60" w:type="dxa"/>
            <w:vAlign w:val="bottom"/>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loss/(gain)</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154,806</w:t>
            </w:r>
          </w:p>
        </w:tc>
        <w:tc>
          <w:tcPr>
            <w:tcW w:w="6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13,696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(3,990)</w:t>
            </w:r>
          </w:p>
        </w:tc>
        <w:tc>
          <w:tcPr>
            <w:tcW w:w="7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49,461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(56,851)</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157,122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6"/>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2"/>
          </w:tcPr>
          <w:p>
            <w:pPr>
              <w:jc w:val="center"/>
              <w:ind w:left="85"/>
              <w:spacing w:after="0"/>
              <w:rPr>
                <w:sz w:val="20"/>
                <w:szCs w:val="20"/>
                <w:color w:val="auto"/>
              </w:rPr>
            </w:pPr>
            <w:r>
              <w:rPr>
                <w:rFonts w:ascii="Arial" w:cs="Arial" w:eastAsia="Arial" w:hAnsi="Arial"/>
                <w:sz w:val="11"/>
                <w:szCs w:val="11"/>
                <w:b w:val="1"/>
                <w:bCs w:val="1"/>
                <w:color w:val="auto"/>
              </w:rPr>
              <w:t>For the Year Ended December 31, 2023</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DSC</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right"/>
              <w:ind w:right="22"/>
              <w:spacing w:after="0" w:line="111" w:lineRule="exact"/>
              <w:rPr>
                <w:sz w:val="20"/>
                <w:szCs w:val="20"/>
                <w:color w:val="auto"/>
              </w:rPr>
            </w:pPr>
            <w:r>
              <w:rPr>
                <w:rFonts w:ascii="Arial" w:cs="Arial" w:eastAsia="Arial" w:hAnsi="Arial"/>
                <w:sz w:val="11"/>
                <w:szCs w:val="11"/>
                <w:b w:val="1"/>
                <w:bCs w:val="1"/>
                <w:color w:val="auto"/>
              </w:rPr>
              <w:t>VIEs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5"/>
        </w:trPr>
        <w:tc>
          <w:tcPr>
            <w:tcW w:w="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Holdings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ind w:right="142"/>
              <w:spacing w:after="0" w:line="125" w:lineRule="exact"/>
              <w:rPr>
                <w:sz w:val="20"/>
                <w:szCs w:val="20"/>
                <w:color w:val="auto"/>
              </w:rPr>
            </w:pPr>
            <w:r>
              <w:rPr>
                <w:rFonts w:ascii="Arial" w:cs="Arial" w:eastAsia="Arial" w:hAnsi="Arial"/>
                <w:sz w:val="11"/>
                <w:szCs w:val="11"/>
                <w:b w:val="1"/>
                <w:bCs w:val="1"/>
                <w:color w:val="auto"/>
              </w:rPr>
              <w:t>their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Other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WFOEs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Combined</w:t>
            </w:r>
          </w:p>
        </w:tc>
        <w:tc>
          <w:tcPr>
            <w:tcW w:w="80" w:type="dxa"/>
            <w:vAlign w:val="bottom"/>
            <w:gridSpan w:val="2"/>
          </w:tcPr>
          <w:p>
            <w:pPr>
              <w:spacing w:after="0"/>
              <w:rPr>
                <w:sz w:val="13"/>
                <w:szCs w:val="13"/>
                <w:color w:val="auto"/>
              </w:rPr>
            </w:pPr>
          </w:p>
        </w:tc>
      </w:tr>
      <w:tr>
        <w:trPr>
          <w:trHeight w:val="202"/>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5"/>
          </w:tcPr>
          <w:p>
            <w:pPr>
              <w:jc w:val="center"/>
              <w:ind w:left="182"/>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6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External parties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revenues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2,814</w:t>
            </w:r>
          </w:p>
        </w:tc>
        <w:tc>
          <w:tcPr>
            <w:tcW w:w="760" w:type="dxa"/>
            <w:vAlign w:val="bottom"/>
            <w:gridSpan w:val="4"/>
            <w:shd w:val="clear" w:color="auto" w:fill="CCEEFF"/>
          </w:tcPr>
          <w:p>
            <w:pPr>
              <w:jc w:val="right"/>
              <w:ind w:right="22"/>
              <w:spacing w:after="0"/>
              <w:rPr>
                <w:sz w:val="20"/>
                <w:szCs w:val="20"/>
                <w:color w:val="auto"/>
              </w:rPr>
            </w:pPr>
            <w:r>
              <w:rPr>
                <w:rFonts w:ascii="Arial" w:cs="Arial" w:eastAsia="Arial" w:hAnsi="Arial"/>
                <w:sz w:val="14"/>
                <w:szCs w:val="14"/>
                <w:color w:val="auto"/>
              </w:rPr>
              <w:t>284,572</w:t>
            </w:r>
          </w:p>
        </w:tc>
        <w:tc>
          <w:tcPr>
            <w:tcW w:w="7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621,658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909,044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Intra-group revenues</w:t>
            </w:r>
            <w:r>
              <w:rPr>
                <w:rFonts w:ascii="Arial" w:cs="Arial" w:eastAsia="Arial" w:hAnsi="Arial"/>
                <w:sz w:val="16"/>
                <w:szCs w:val="16"/>
                <w:b w:val="1"/>
                <w:bCs w:val="1"/>
                <w:color w:val="auto"/>
                <w:vertAlign w:val="superscript"/>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25"/>
              <w:spacing w:after="0"/>
              <w:rPr>
                <w:sz w:val="20"/>
                <w:szCs w:val="20"/>
                <w:color w:val="auto"/>
              </w:rPr>
            </w:pPr>
            <w:r>
              <w:rPr>
                <w:rFonts w:ascii="Arial" w:cs="Arial" w:eastAsia="Arial" w:hAnsi="Arial"/>
                <w:sz w:val="14"/>
                <w:szCs w:val="14"/>
                <w:color w:val="auto"/>
              </w:rPr>
              <w:t>41,600</w:t>
            </w:r>
          </w:p>
        </w:tc>
        <w:tc>
          <w:tcPr>
            <w:tcW w:w="760" w:type="dxa"/>
            <w:vAlign w:val="bottom"/>
            <w:gridSpan w:val="4"/>
          </w:tcPr>
          <w:p>
            <w:pPr>
              <w:jc w:val="right"/>
              <w:ind w:right="22"/>
              <w:spacing w:after="0"/>
              <w:rPr>
                <w:sz w:val="20"/>
                <w:szCs w:val="20"/>
                <w:color w:val="auto"/>
              </w:rPr>
            </w:pPr>
            <w:r>
              <w:rPr>
                <w:rFonts w:ascii="Arial" w:cs="Arial" w:eastAsia="Arial" w:hAnsi="Arial"/>
                <w:sz w:val="14"/>
                <w:szCs w:val="14"/>
                <w:color w:val="auto"/>
              </w:rPr>
              <w:t>57,928</w:t>
            </w:r>
          </w:p>
        </w:tc>
        <w:tc>
          <w:tcPr>
            <w:tcW w:w="780" w:type="dxa"/>
            <w:vAlign w:val="bottom"/>
            <w:gridSpan w:val="4"/>
          </w:tcPr>
          <w:p>
            <w:pPr>
              <w:jc w:val="right"/>
              <w:ind w:right="25"/>
              <w:spacing w:after="0"/>
              <w:rPr>
                <w:sz w:val="20"/>
                <w:szCs w:val="20"/>
                <w:color w:val="auto"/>
              </w:rPr>
            </w:pPr>
            <w:r>
              <w:rPr>
                <w:rFonts w:ascii="Arial" w:cs="Arial" w:eastAsia="Arial" w:hAnsi="Arial"/>
                <w:sz w:val="14"/>
                <w:szCs w:val="14"/>
                <w:color w:val="auto"/>
              </w:rPr>
              <w:t>19,501</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(119,029)</w:t>
            </w:r>
          </w:p>
        </w:tc>
        <w:tc>
          <w:tcPr>
            <w:tcW w:w="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137"/>
        </w:trPr>
        <w:tc>
          <w:tcPr>
            <w:tcW w:w="60" w:type="dxa"/>
            <w:vAlign w:val="bottom"/>
          </w:tcPr>
          <w:p>
            <w:pPr>
              <w:spacing w:after="0"/>
              <w:rPr>
                <w:sz w:val="11"/>
                <w:szCs w:val="11"/>
                <w:color w:val="auto"/>
              </w:rPr>
            </w:pPr>
          </w:p>
        </w:tc>
        <w:tc>
          <w:tcPr>
            <w:tcW w:w="160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Total costs and</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5"/>
        </w:trPr>
        <w:tc>
          <w:tcPr>
            <w:tcW w:w="60" w:type="dxa"/>
            <w:vAlign w:val="bottom"/>
          </w:tcPr>
          <w:p>
            <w:pPr>
              <w:spacing w:after="0"/>
              <w:rPr>
                <w:sz w:val="17"/>
                <w:szCs w:val="17"/>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(67,346)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(372,098)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(778,757)</w:t>
            </w:r>
          </w:p>
        </w:tc>
        <w:tc>
          <w:tcPr>
            <w:tcW w:w="780" w:type="dxa"/>
            <w:vAlign w:val="bottom"/>
            <w:gridSpan w:val="3"/>
            <w:shd w:val="clear" w:color="auto" w:fill="CCEEFF"/>
          </w:tcPr>
          <w:p>
            <w:pPr>
              <w:jc w:val="right"/>
              <w:ind w:right="38"/>
              <w:spacing w:after="0"/>
              <w:rPr>
                <w:sz w:val="20"/>
                <w:szCs w:val="20"/>
                <w:color w:val="auto"/>
              </w:rPr>
            </w:pPr>
            <w:r>
              <w:rPr>
                <w:rFonts w:ascii="Arial" w:cs="Arial" w:eastAsia="Arial" w:hAnsi="Arial"/>
                <w:sz w:val="14"/>
                <w:szCs w:val="14"/>
                <w:color w:val="auto"/>
              </w:rPr>
              <w:t>119,029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(1,099,615)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60" w:type="dxa"/>
            <w:vAlign w:val="bottom"/>
          </w:tcPr>
          <w:p>
            <w:pPr>
              <w:spacing w:after="0"/>
              <w:rPr>
                <w:sz w:val="11"/>
                <w:szCs w:val="11"/>
                <w:color w:val="auto"/>
              </w:rPr>
            </w:pPr>
          </w:p>
        </w:tc>
        <w:tc>
          <w:tcPr>
            <w:tcW w:w="1600" w:type="dxa"/>
            <w:vAlign w:val="bottom"/>
          </w:tcPr>
          <w:p>
            <w:pPr>
              <w:spacing w:after="0" w:line="137" w:lineRule="exact"/>
              <w:rPr>
                <w:sz w:val="20"/>
                <w:szCs w:val="20"/>
                <w:color w:val="auto"/>
              </w:rPr>
            </w:pPr>
            <w:r>
              <w:rPr>
                <w:rFonts w:ascii="Arial" w:cs="Arial" w:eastAsia="Arial" w:hAnsi="Arial"/>
                <w:sz w:val="14"/>
                <w:szCs w:val="14"/>
                <w:b w:val="1"/>
                <w:bCs w:val="1"/>
                <w:color w:val="auto"/>
              </w:rPr>
              <w:t>Share of loss from</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6"/>
        </w:trPr>
        <w:tc>
          <w:tcPr>
            <w:tcW w:w="60" w:type="dxa"/>
            <w:vAlign w:val="bottom"/>
          </w:tcPr>
          <w:p>
            <w:pPr>
              <w:spacing w:after="0"/>
              <w:rPr>
                <w:sz w:val="13"/>
                <w:szCs w:val="13"/>
                <w:color w:val="auto"/>
              </w:rPr>
            </w:pPr>
          </w:p>
        </w:tc>
        <w:tc>
          <w:tcPr>
            <w:tcW w:w="16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subsidiaries, the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160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VIEs and their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60" w:type="dxa"/>
            <w:vAlign w:val="bottom"/>
          </w:tcPr>
          <w:p>
            <w:pPr>
              <w:spacing w:after="0"/>
              <w:rPr>
                <w:sz w:val="17"/>
                <w:szCs w:val="17"/>
                <w:color w:val="auto"/>
              </w:rPr>
            </w:pP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subsidiaries</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(180,835)</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(77,053)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(100,110)</w:t>
            </w:r>
          </w:p>
        </w:tc>
        <w:tc>
          <w:tcPr>
            <w:tcW w:w="780" w:type="dxa"/>
            <w:vAlign w:val="bottom"/>
            <w:gridSpan w:val="3"/>
          </w:tcPr>
          <w:p>
            <w:pPr>
              <w:jc w:val="right"/>
              <w:ind w:right="38"/>
              <w:spacing w:after="0"/>
              <w:rPr>
                <w:sz w:val="20"/>
                <w:szCs w:val="20"/>
                <w:color w:val="auto"/>
              </w:rPr>
            </w:pPr>
            <w:r>
              <w:rPr>
                <w:rFonts w:ascii="Arial" w:cs="Arial" w:eastAsia="Arial" w:hAnsi="Arial"/>
                <w:sz w:val="14"/>
                <w:szCs w:val="14"/>
                <w:color w:val="auto"/>
              </w:rPr>
              <w:t>357,998</w:t>
            </w:r>
          </w:p>
        </w:tc>
        <w:tc>
          <w:tcPr>
            <w:tcW w:w="8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r>
      <w:tr>
        <w:trPr>
          <w:trHeight w:val="224"/>
        </w:trPr>
        <w:tc>
          <w:tcPr>
            <w:tcW w:w="60" w:type="dxa"/>
            <w:vAlign w:val="bottom"/>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178,364</w:t>
            </w:r>
          </w:p>
        </w:tc>
        <w:tc>
          <w:tcPr>
            <w:tcW w:w="6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100,110</w:t>
            </w:r>
          </w:p>
        </w:tc>
        <w:tc>
          <w:tcPr>
            <w:tcW w:w="760" w:type="dxa"/>
            <w:vAlign w:val="bottom"/>
            <w:gridSpan w:val="4"/>
            <w:shd w:val="clear" w:color="auto" w:fill="CCEEFF"/>
          </w:tcPr>
          <w:p>
            <w:pPr>
              <w:jc w:val="right"/>
              <w:ind w:right="22"/>
              <w:spacing w:after="0"/>
              <w:rPr>
                <w:sz w:val="20"/>
                <w:szCs w:val="20"/>
                <w:color w:val="auto"/>
              </w:rPr>
            </w:pPr>
            <w:r>
              <w:rPr>
                <w:rFonts w:ascii="Arial" w:cs="Arial" w:eastAsia="Arial" w:hAnsi="Arial"/>
                <w:sz w:val="14"/>
                <w:szCs w:val="14"/>
                <w:color w:val="auto"/>
              </w:rPr>
              <w:t>30,754</w:t>
            </w:r>
          </w:p>
        </w:tc>
        <w:tc>
          <w:tcPr>
            <w:tcW w:w="780" w:type="dxa"/>
            <w:vAlign w:val="bottom"/>
            <w:gridSpan w:val="4"/>
            <w:shd w:val="clear" w:color="auto" w:fill="CCEEFF"/>
          </w:tcPr>
          <w:p>
            <w:pPr>
              <w:jc w:val="right"/>
              <w:ind w:right="25"/>
              <w:spacing w:after="0"/>
              <w:rPr>
                <w:sz w:val="20"/>
                <w:szCs w:val="20"/>
                <w:color w:val="auto"/>
              </w:rPr>
            </w:pPr>
            <w:r>
              <w:rPr>
                <w:rFonts w:ascii="Arial" w:cs="Arial" w:eastAsia="Arial" w:hAnsi="Arial"/>
                <w:sz w:val="14"/>
                <w:szCs w:val="14"/>
                <w:color w:val="auto"/>
              </w:rPr>
              <w:t>235,350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(357,998)</w:t>
            </w:r>
          </w:p>
        </w:tc>
        <w:tc>
          <w:tcPr>
            <w:tcW w:w="86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186,580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5"/>
        </w:trPr>
        <w:tc>
          <w:tcPr>
            <w:tcW w:w="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86"/>
        </w:trPr>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color w:val="auto"/>
              </w:rPr>
              <w:t>37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46" w:name="page47"/>
    <w:bookmarkEnd w:id="4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6324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59225" cy="6324600"/>
                    </a:xfrm>
                    <a:prstGeom prst="rect">
                      <a:avLst/>
                    </a:prstGeom>
                    <a:noFill/>
                  </pic:spPr>
                </pic:pic>
              </a:graphicData>
            </a:graphic>
          </wp:anchor>
        </w:drawing>
      </w:r>
    </w:p>
    <w:p>
      <w:pPr>
        <w:spacing w:after="0" w:line="257"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Summary of consolidating cash flow data</w:t>
      </w:r>
    </w:p>
    <w:p>
      <w:pPr>
        <w:spacing w:after="0" w:line="19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11"/>
          </w:tcPr>
          <w:p>
            <w:pPr>
              <w:jc w:val="center"/>
              <w:ind w:left="140"/>
              <w:spacing w:after="0"/>
              <w:rPr>
                <w:sz w:val="20"/>
                <w:szCs w:val="20"/>
                <w:color w:val="auto"/>
              </w:rPr>
            </w:pPr>
            <w:r>
              <w:rPr>
                <w:rFonts w:ascii="Arial" w:cs="Arial" w:eastAsia="Arial" w:hAnsi="Arial"/>
                <w:sz w:val="11"/>
                <w:szCs w:val="11"/>
                <w:b w:val="1"/>
                <w:bCs w:val="1"/>
                <w:color w:val="auto"/>
                <w:w w:val="99"/>
              </w:rPr>
              <w:t>For the Year Ended December 31, 2025</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rPr>
              <w:t>DSC</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rPr>
              <w:t>VIEs and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Holdings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their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Ltd.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WFOEs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5"/>
          </w:tcPr>
          <w:p>
            <w:pPr>
              <w:jc w:val="center"/>
              <w:ind w:left="262"/>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operating activities with</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(4,946)</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(83,388)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(90,370)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(used</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in)/provided by</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operating activities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with intra-group</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5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rPr>
              <w:t>Net cash (used</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in)/provided by</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(13,730)</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53,526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39,776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used in</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intra-group</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540" w:type="dxa"/>
            <w:vAlign w:val="bottom"/>
          </w:tcPr>
          <w:p>
            <w:pPr>
              <w:jc w:val="right"/>
              <w:spacing w:after="0"/>
              <w:rPr>
                <w:sz w:val="20"/>
                <w:szCs w:val="20"/>
                <w:color w:val="auto"/>
              </w:rPr>
            </w:pPr>
            <w:r>
              <w:rPr>
                <w:rFonts w:ascii="Arial" w:cs="Arial" w:eastAsia="Arial" w:hAnsi="Arial"/>
                <w:sz w:val="14"/>
                <w:szCs w:val="14"/>
                <w:color w:val="auto"/>
              </w:rPr>
              <w:t>(3,976)</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(13,754)</w:t>
            </w: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(23,729)</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(17,119)</w:t>
            </w:r>
          </w:p>
        </w:tc>
        <w:tc>
          <w:tcPr>
            <w:tcW w:w="780" w:type="dxa"/>
            <w:vAlign w:val="bottom"/>
            <w:gridSpan w:val="2"/>
          </w:tcPr>
          <w:p>
            <w:pPr>
              <w:jc w:val="right"/>
              <w:ind w:right="34"/>
              <w:spacing w:after="0"/>
              <w:rPr>
                <w:sz w:val="20"/>
                <w:szCs w:val="20"/>
                <w:color w:val="auto"/>
              </w:rPr>
            </w:pPr>
            <w:r>
              <w:rPr>
                <w:rFonts w:ascii="Arial" w:cs="Arial" w:eastAsia="Arial" w:hAnsi="Arial"/>
                <w:sz w:val="14"/>
                <w:szCs w:val="14"/>
                <w:color w:val="auto"/>
              </w:rPr>
              <w:t>58,577</w:t>
            </w:r>
          </w:p>
        </w:tc>
        <w:tc>
          <w:tcPr>
            <w:tcW w:w="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shd w:val="clear" w:color="auto" w:fill="CCEEFF"/>
          </w:tcPr>
          <w:p>
            <w:pPr>
              <w:spacing w:after="0" w:line="137" w:lineRule="exact"/>
              <w:rPr>
                <w:sz w:val="20"/>
                <w:szCs w:val="20"/>
                <w:color w:val="auto"/>
              </w:rPr>
            </w:pPr>
            <w:r>
              <w:rPr>
                <w:rFonts w:ascii="Arial" w:cs="Arial" w:eastAsia="Arial" w:hAnsi="Arial"/>
                <w:sz w:val="14"/>
                <w:szCs w:val="14"/>
                <w:color w:val="auto"/>
              </w:rPr>
              <w:t>Net cash provided by</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financing activities with</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6,450</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2"/>
              <w:spacing w:after="0"/>
              <w:rPr>
                <w:sz w:val="20"/>
                <w:szCs w:val="20"/>
                <w:color w:val="auto"/>
              </w:rPr>
            </w:pPr>
            <w:r>
              <w:rPr>
                <w:rFonts w:ascii="Arial" w:cs="Arial" w:eastAsia="Arial" w:hAnsi="Arial"/>
                <w:sz w:val="14"/>
                <w:szCs w:val="14"/>
                <w:color w:val="auto"/>
              </w:rPr>
              <w:t>13,254</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(3,965)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15,635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provided by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financing activities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with intra-group</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4,600</w:t>
            </w:r>
          </w:p>
        </w:tc>
        <w:tc>
          <w:tcPr>
            <w:tcW w:w="20" w:type="dxa"/>
            <w:vAlign w:val="bottom"/>
          </w:tcPr>
          <w:p>
            <w:pPr>
              <w:spacing w:after="0"/>
              <w:rPr>
                <w:sz w:val="13"/>
                <w:szCs w:val="13"/>
                <w:color w:val="auto"/>
              </w:rPr>
            </w:pPr>
          </w:p>
        </w:tc>
        <w:tc>
          <w:tcPr>
            <w:tcW w:w="740" w:type="dxa"/>
            <w:vAlign w:val="bottom"/>
            <w:gridSpan w:val="3"/>
            <w:vMerge w:val="restart"/>
          </w:tcPr>
          <w:p>
            <w:pPr>
              <w:jc w:val="right"/>
              <w:ind w:right="22"/>
              <w:spacing w:after="0"/>
              <w:rPr>
                <w:sz w:val="20"/>
                <w:szCs w:val="20"/>
                <w:color w:val="auto"/>
              </w:rPr>
            </w:pPr>
            <w:r>
              <w:rPr>
                <w:rFonts w:ascii="Arial" w:cs="Arial" w:eastAsia="Arial" w:hAnsi="Arial"/>
                <w:sz w:val="14"/>
                <w:szCs w:val="14"/>
                <w:color w:val="auto"/>
              </w:rPr>
              <w:t>12,519</w:t>
            </w:r>
          </w:p>
        </w:tc>
        <w:tc>
          <w:tcPr>
            <w:tcW w:w="20" w:type="dxa"/>
            <w:vAlign w:val="bottom"/>
          </w:tcPr>
          <w:p>
            <w:pPr>
              <w:spacing w:after="0"/>
              <w:rPr>
                <w:sz w:val="13"/>
                <w:szCs w:val="13"/>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41,459</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(58,577)</w:t>
            </w:r>
          </w:p>
        </w:tc>
        <w:tc>
          <w:tcPr>
            <w:tcW w:w="80" w:type="dxa"/>
            <w:vAlign w:val="bottom"/>
          </w:tcPr>
          <w:p>
            <w:pPr>
              <w:spacing w:after="0"/>
              <w:rPr>
                <w:sz w:val="13"/>
                <w:szCs w:val="13"/>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560" w:type="dxa"/>
            <w:vAlign w:val="bottom"/>
            <w:gridSpan w:val="2"/>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1"/>
          </w:tcPr>
          <w:p>
            <w:pPr>
              <w:jc w:val="center"/>
              <w:ind w:left="120"/>
              <w:spacing w:after="0"/>
              <w:rPr>
                <w:sz w:val="20"/>
                <w:szCs w:val="20"/>
                <w:color w:val="auto"/>
              </w:rPr>
            </w:pPr>
            <w:r>
              <w:rPr>
                <w:rFonts w:ascii="Arial" w:cs="Arial" w:eastAsia="Arial" w:hAnsi="Arial"/>
                <w:sz w:val="11"/>
                <w:szCs w:val="11"/>
                <w:b w:val="1"/>
                <w:bCs w:val="1"/>
                <w:color w:val="auto"/>
              </w:rPr>
              <w:t>For the Year Ended December 31, 2024</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center"/>
              <w:ind w:right="40"/>
              <w:spacing w:after="0" w:line="111" w:lineRule="exact"/>
              <w:rPr>
                <w:sz w:val="20"/>
                <w:szCs w:val="20"/>
                <w:color w:val="auto"/>
              </w:rPr>
            </w:pPr>
            <w:r>
              <w:rPr>
                <w:rFonts w:ascii="Arial" w:cs="Arial" w:eastAsia="Arial" w:hAnsi="Arial"/>
                <w:sz w:val="11"/>
                <w:szCs w:val="11"/>
                <w:b w:val="1"/>
                <w:bCs w:val="1"/>
                <w:color w:val="auto"/>
              </w:rPr>
              <w:t>DSC</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tcPr>
          <w:p>
            <w:pPr>
              <w:jc w:val="center"/>
              <w:ind w:right="40"/>
              <w:spacing w:after="0" w:line="111" w:lineRule="exact"/>
              <w:rPr>
                <w:sz w:val="20"/>
                <w:szCs w:val="20"/>
                <w:color w:val="auto"/>
              </w:rPr>
            </w:pPr>
            <w:r>
              <w:rPr>
                <w:rFonts w:ascii="Arial" w:cs="Arial" w:eastAsia="Arial" w:hAnsi="Arial"/>
                <w:sz w:val="11"/>
                <w:szCs w:val="11"/>
                <w:b w:val="1"/>
                <w:bCs w:val="1"/>
                <w:color w:val="auto"/>
              </w:rPr>
              <w:t>VIEs and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Holdings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their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WFOEs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subsidiaries</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5"/>
          </w:tcPr>
          <w:p>
            <w:pPr>
              <w:jc w:val="center"/>
              <w:ind w:left="222"/>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operating activities with</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(36,362)</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
              <w:spacing w:after="0"/>
              <w:rPr>
                <w:sz w:val="20"/>
                <w:szCs w:val="20"/>
                <w:color w:val="auto"/>
              </w:rPr>
            </w:pPr>
            <w:r>
              <w:rPr>
                <w:rFonts w:ascii="Arial" w:cs="Arial" w:eastAsia="Arial" w:hAnsi="Arial"/>
                <w:sz w:val="14"/>
                <w:szCs w:val="14"/>
                <w:color w:val="auto"/>
              </w:rPr>
              <w:t>(9,439)</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(165,931)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(212,517)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used in</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operating activities with</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intra-group parties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7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cash used in</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intra-group</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(7,755)</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
              <w:spacing w:after="0"/>
              <w:rPr>
                <w:sz w:val="20"/>
                <w:szCs w:val="20"/>
                <w:color w:val="auto"/>
              </w:rPr>
            </w:pPr>
            <w:r>
              <w:rPr>
                <w:rFonts w:ascii="Arial" w:cs="Arial" w:eastAsia="Arial" w:hAnsi="Arial"/>
                <w:sz w:val="14"/>
                <w:szCs w:val="14"/>
                <w:color w:val="auto"/>
              </w:rPr>
              <w:t>(76,986)</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(150,402)</w:t>
            </w:r>
          </w:p>
        </w:tc>
        <w:tc>
          <w:tcPr>
            <w:tcW w:w="78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235,143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provided by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external parties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6"/>
                <w:szCs w:val="16"/>
                <w:color w:val="auto"/>
              </w:rPr>
            </w:pPr>
          </w:p>
        </w:tc>
        <w:tc>
          <w:tcPr>
            <w:tcW w:w="740" w:type="dxa"/>
            <w:vAlign w:val="bottom"/>
            <w:gridSpan w:val="3"/>
          </w:tcPr>
          <w:p>
            <w:pPr>
              <w:jc w:val="right"/>
              <w:ind w:right="42"/>
              <w:spacing w:after="0"/>
              <w:rPr>
                <w:sz w:val="20"/>
                <w:szCs w:val="20"/>
                <w:color w:val="auto"/>
              </w:rPr>
            </w:pPr>
            <w:r>
              <w:rPr>
                <w:rFonts w:ascii="Arial" w:cs="Arial" w:eastAsia="Arial" w:hAnsi="Arial"/>
                <w:sz w:val="14"/>
                <w:szCs w:val="14"/>
                <w:color w:val="auto"/>
              </w:rPr>
              <w:t>3,228</w:t>
            </w:r>
          </w:p>
        </w:tc>
        <w:tc>
          <w:tcPr>
            <w:tcW w:w="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71,225</w:t>
            </w:r>
          </w:p>
        </w:tc>
        <w:tc>
          <w:tcPr>
            <w:tcW w:w="80" w:type="dxa"/>
            <w:vAlign w:val="bottom"/>
          </w:tcPr>
          <w:p>
            <w:pPr>
              <w:spacing w:after="0"/>
              <w:rPr>
                <w:sz w:val="16"/>
                <w:szCs w:val="16"/>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
              <w:spacing w:after="0"/>
              <w:rPr>
                <w:sz w:val="20"/>
                <w:szCs w:val="20"/>
                <w:color w:val="auto"/>
              </w:rPr>
            </w:pPr>
            <w:r>
              <w:rPr>
                <w:rFonts w:ascii="Arial" w:cs="Arial" w:eastAsia="Arial" w:hAnsi="Arial"/>
                <w:sz w:val="14"/>
                <w:szCs w:val="14"/>
                <w:color w:val="auto"/>
              </w:rPr>
              <w:t>74,481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7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Net cash provided by</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(used in) financing</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activities with external</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parties</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4,706</w:t>
            </w:r>
          </w:p>
        </w:tc>
        <w:tc>
          <w:tcPr>
            <w:tcW w:w="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10,479</w:t>
            </w: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2"/>
              <w:spacing w:after="0"/>
              <w:rPr>
                <w:sz w:val="20"/>
                <w:szCs w:val="20"/>
                <w:color w:val="auto"/>
              </w:rPr>
            </w:pPr>
            <w:r>
              <w:rPr>
                <w:rFonts w:ascii="Arial" w:cs="Arial" w:eastAsia="Arial" w:hAnsi="Arial"/>
                <w:sz w:val="14"/>
                <w:szCs w:val="14"/>
                <w:color w:val="auto"/>
              </w:rPr>
              <w:t>40,664</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51,726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700" w:type="dxa"/>
            <w:vAlign w:val="bottom"/>
            <w:gridSpan w:val="2"/>
          </w:tcPr>
          <w:p>
            <w:pPr>
              <w:spacing w:after="0" w:line="137" w:lineRule="exact"/>
              <w:rPr>
                <w:sz w:val="20"/>
                <w:szCs w:val="20"/>
                <w:color w:val="auto"/>
              </w:rPr>
            </w:pPr>
            <w:r>
              <w:rPr>
                <w:rFonts w:ascii="Arial" w:cs="Arial" w:eastAsia="Arial" w:hAnsi="Arial"/>
                <w:sz w:val="14"/>
                <w:szCs w:val="14"/>
                <w:color w:val="auto"/>
              </w:rPr>
              <w:t>Net cash provided by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7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financing activities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with intra-group</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40,602</w:t>
            </w:r>
          </w:p>
        </w:tc>
        <w:tc>
          <w:tcPr>
            <w:tcW w:w="20" w:type="dxa"/>
            <w:vAlign w:val="bottom"/>
          </w:tcPr>
          <w:p>
            <w:pPr>
              <w:spacing w:after="0"/>
              <w:rPr>
                <w:sz w:val="13"/>
                <w:szCs w:val="13"/>
                <w:color w:val="auto"/>
              </w:rPr>
            </w:pPr>
          </w:p>
        </w:tc>
        <w:tc>
          <w:tcPr>
            <w:tcW w:w="740" w:type="dxa"/>
            <w:vAlign w:val="bottom"/>
            <w:gridSpan w:val="3"/>
            <w:vMerge w:val="restart"/>
          </w:tcPr>
          <w:p>
            <w:pPr>
              <w:jc w:val="right"/>
              <w:ind w:right="42"/>
              <w:spacing w:after="0"/>
              <w:rPr>
                <w:sz w:val="20"/>
                <w:szCs w:val="20"/>
                <w:color w:val="auto"/>
              </w:rPr>
            </w:pPr>
            <w:r>
              <w:rPr>
                <w:rFonts w:ascii="Arial" w:cs="Arial" w:eastAsia="Arial" w:hAnsi="Arial"/>
                <w:sz w:val="14"/>
                <w:szCs w:val="14"/>
                <w:color w:val="auto"/>
              </w:rPr>
              <w:t>109,800</w:t>
            </w:r>
          </w:p>
        </w:tc>
        <w:tc>
          <w:tcPr>
            <w:tcW w:w="20" w:type="dxa"/>
            <w:vAlign w:val="bottom"/>
          </w:tcPr>
          <w:p>
            <w:pPr>
              <w:spacing w:after="0"/>
              <w:rPr>
                <w:sz w:val="13"/>
                <w:szCs w:val="13"/>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84,741</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(235,143)</w:t>
            </w:r>
          </w:p>
        </w:tc>
        <w:tc>
          <w:tcPr>
            <w:tcW w:w="80" w:type="dxa"/>
            <w:vAlign w:val="bottom"/>
          </w:tcPr>
          <w:p>
            <w:pPr>
              <w:spacing w:after="0"/>
              <w:rPr>
                <w:sz w:val="13"/>
                <w:szCs w:val="13"/>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560" w:type="dxa"/>
            <w:vAlign w:val="bottom"/>
            <w:gridSpan w:val="2"/>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47" w:name="page48"/>
    <w:bookmarkEnd w:id="4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5080</wp:posOffset>
            </wp:positionV>
            <wp:extent cx="3959225" cy="44272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59225" cy="4427220"/>
                    </a:xfrm>
                    <a:prstGeom prst="rect">
                      <a:avLst/>
                    </a:prstGeom>
                    <a:noFill/>
                  </pic:spPr>
                </pic:pic>
              </a:graphicData>
            </a:graphic>
          </wp:anchor>
        </w:drawing>
      </w:r>
    </w:p>
    <w:p>
      <w:pPr>
        <w:spacing w:after="0" w:line="325" w:lineRule="exact"/>
        <w:rPr>
          <w:sz w:val="20"/>
          <w:szCs w:val="20"/>
          <w:color w:val="auto"/>
        </w:rPr>
      </w:pPr>
    </w:p>
    <w:tbl>
      <w:tblPr>
        <w:tblLayout w:type="fixed"/>
        <w:tblInd w:w="1480" w:type="dxa"/>
        <w:tblCellMar>
          <w:top w:w="0" w:type="dxa"/>
          <w:left w:w="0" w:type="dxa"/>
          <w:bottom w:w="0" w:type="dxa"/>
          <w:right w:w="0" w:type="dxa"/>
        </w:tblCellMar>
      </w:tblPr>
      <w:tr>
        <w:trPr>
          <w:trHeight w:val="160"/>
        </w:trPr>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7"/>
          </w:tcPr>
          <w:p>
            <w:pPr>
              <w:jc w:val="right"/>
              <w:ind w:right="294"/>
              <w:spacing w:after="0"/>
              <w:rPr>
                <w:sz w:val="20"/>
                <w:szCs w:val="20"/>
                <w:color w:val="auto"/>
              </w:rPr>
            </w:pPr>
            <w:r>
              <w:rPr>
                <w:rFonts w:ascii="Arial" w:cs="Arial" w:eastAsia="Arial" w:hAnsi="Arial"/>
                <w:sz w:val="11"/>
                <w:szCs w:val="11"/>
                <w:b w:val="1"/>
                <w:bCs w:val="1"/>
                <w:color w:val="auto"/>
              </w:rPr>
              <w:t>For the Year Ended December 31, 2023</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DSC</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VIEs and</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Holdings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their</w:t>
            </w:r>
          </w:p>
        </w:tc>
        <w:tc>
          <w:tcPr>
            <w:tcW w:w="80" w:type="dxa"/>
            <w:vAlign w:val="bottom"/>
          </w:tcPr>
          <w:p>
            <w:pPr>
              <w:spacing w:after="0"/>
              <w:rPr>
                <w:sz w:val="10"/>
                <w:szCs w:val="10"/>
                <w:color w:val="auto"/>
              </w:rPr>
            </w:pPr>
          </w:p>
        </w:tc>
        <w:tc>
          <w:tcPr>
            <w:tcW w:w="680" w:type="dxa"/>
            <w:vAlign w:val="bottom"/>
          </w:tcPr>
          <w:p>
            <w:pPr>
              <w:jc w:val="right"/>
              <w:ind w:right="120"/>
              <w:spacing w:after="0" w:line="125"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Ltd.</w:t>
            </w:r>
          </w:p>
        </w:tc>
        <w:tc>
          <w:tcPr>
            <w:tcW w:w="60" w:type="dxa"/>
            <w:vAlign w:val="bottom"/>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WFOEs</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subsidiaries</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9"/>
              </w:rPr>
              <w:t>subsidiaries</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Eliminations</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in)/provided by</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operating activities with</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676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(164,669)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(163,412)</w:t>
            </w:r>
          </w:p>
        </w:tc>
        <w:tc>
          <w:tcPr>
            <w:tcW w:w="0" w:type="dxa"/>
            <w:vAlign w:val="bottom"/>
          </w:tcPr>
          <w:p>
            <w:pPr>
              <w:spacing w:after="0"/>
              <w:rPr>
                <w:sz w:val="1"/>
                <w:szCs w:val="1"/>
                <w:color w:val="auto"/>
              </w:rPr>
            </w:pPr>
          </w:p>
        </w:tc>
      </w:tr>
      <w:tr>
        <w:trPr>
          <w:trHeight w:val="137"/>
        </w:trPr>
        <w:tc>
          <w:tcPr>
            <w:tcW w:w="1620" w:type="dxa"/>
            <w:vAlign w:val="bottom"/>
          </w:tcPr>
          <w:p>
            <w:pPr>
              <w:spacing w:after="0" w:line="137" w:lineRule="exact"/>
              <w:rPr>
                <w:sz w:val="20"/>
                <w:szCs w:val="20"/>
                <w:color w:val="auto"/>
              </w:rPr>
            </w:pPr>
            <w:r>
              <w:rPr>
                <w:rFonts w:ascii="Arial" w:cs="Arial" w:eastAsia="Arial" w:hAnsi="Arial"/>
                <w:sz w:val="14"/>
                <w:szCs w:val="14"/>
                <w:color w:val="auto"/>
              </w:rPr>
              <w:t>Net cash (used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40"/>
              <w:spacing w:after="0" w:line="156" w:lineRule="exact"/>
              <w:rPr>
                <w:sz w:val="20"/>
                <w:szCs w:val="20"/>
                <w:color w:val="auto"/>
              </w:rPr>
            </w:pPr>
            <w:r>
              <w:rPr>
                <w:rFonts w:ascii="Arial" w:cs="Arial" w:eastAsia="Arial" w:hAnsi="Arial"/>
                <w:sz w:val="14"/>
                <w:szCs w:val="14"/>
                <w:color w:val="auto"/>
              </w:rPr>
              <w:t>in)/provided by</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40"/>
              <w:spacing w:after="0" w:line="156" w:lineRule="exact"/>
              <w:rPr>
                <w:sz w:val="20"/>
                <w:szCs w:val="20"/>
                <w:color w:val="auto"/>
              </w:rPr>
            </w:pPr>
            <w:r>
              <w:rPr>
                <w:rFonts w:ascii="Arial" w:cs="Arial" w:eastAsia="Arial" w:hAnsi="Arial"/>
                <w:sz w:val="14"/>
                <w:szCs w:val="14"/>
                <w:color w:val="auto"/>
              </w:rPr>
              <w:t>operating activities with</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20" w:type="dxa"/>
            <w:vAlign w:val="bottom"/>
          </w:tcPr>
          <w:p>
            <w:pPr>
              <w:ind w:left="140"/>
              <w:spacing w:after="0"/>
              <w:rPr>
                <w:sz w:val="20"/>
                <w:szCs w:val="20"/>
                <w:color w:val="auto"/>
              </w:rPr>
            </w:pPr>
            <w:r>
              <w:rPr>
                <w:rFonts w:ascii="Arial" w:cs="Arial" w:eastAsia="Arial" w:hAnsi="Arial"/>
                <w:sz w:val="14"/>
                <w:szCs w:val="14"/>
                <w:color w:val="auto"/>
              </w:rPr>
              <w:t>intra-group companies</w:t>
            </w:r>
          </w:p>
        </w:tc>
        <w:tc>
          <w:tcPr>
            <w:tcW w:w="60" w:type="dxa"/>
            <w:vAlign w:val="bottom"/>
          </w:tcPr>
          <w:p>
            <w:pPr>
              <w:spacing w:after="0"/>
              <w:rPr>
                <w:sz w:val="16"/>
                <w:szCs w:val="16"/>
                <w:color w:val="auto"/>
              </w:rPr>
            </w:pPr>
          </w:p>
        </w:tc>
        <w:tc>
          <w:tcPr>
            <w:tcW w:w="640" w:type="dxa"/>
            <w:vAlign w:val="bottom"/>
          </w:tcPr>
          <w:p>
            <w:pPr>
              <w:jc w:val="right"/>
              <w:ind w:right="3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80" w:type="dxa"/>
            <w:vAlign w:val="bottom"/>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in)/provided by</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7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color w:val="auto"/>
              </w:rPr>
              <w:t>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(128,208)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(129,834)</w:t>
            </w:r>
          </w:p>
        </w:tc>
        <w:tc>
          <w:tcPr>
            <w:tcW w:w="0" w:type="dxa"/>
            <w:vAlign w:val="bottom"/>
          </w:tcPr>
          <w:p>
            <w:pPr>
              <w:spacing w:after="0"/>
              <w:rPr>
                <w:sz w:val="1"/>
                <w:szCs w:val="1"/>
                <w:color w:val="auto"/>
              </w:rPr>
            </w:pPr>
          </w:p>
        </w:tc>
      </w:tr>
      <w:tr>
        <w:trPr>
          <w:trHeight w:val="137"/>
        </w:trPr>
        <w:tc>
          <w:tcPr>
            <w:tcW w:w="1620" w:type="dxa"/>
            <w:vAlign w:val="bottom"/>
          </w:tcPr>
          <w:p>
            <w:pPr>
              <w:spacing w:after="0" w:line="137" w:lineRule="exact"/>
              <w:rPr>
                <w:sz w:val="20"/>
                <w:szCs w:val="20"/>
                <w:color w:val="auto"/>
              </w:rPr>
            </w:pPr>
            <w:r>
              <w:rPr>
                <w:rFonts w:ascii="Arial" w:cs="Arial" w:eastAsia="Arial" w:hAnsi="Arial"/>
                <w:sz w:val="14"/>
                <w:szCs w:val="14"/>
                <w:color w:val="auto"/>
              </w:rPr>
              <w:t>Net cash used in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40"/>
              <w:spacing w:after="0" w:line="156" w:lineRule="exact"/>
              <w:rPr>
                <w:sz w:val="20"/>
                <w:szCs w:val="20"/>
                <w:color w:val="auto"/>
              </w:rPr>
            </w:pPr>
            <w:r>
              <w:rPr>
                <w:rFonts w:ascii="Arial" w:cs="Arial" w:eastAsia="Arial" w:hAnsi="Arial"/>
                <w:sz w:val="14"/>
                <w:szCs w:val="14"/>
                <w:color w:val="auto"/>
              </w:rPr>
              <w:t>investing activities with</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140"/>
              <w:spacing w:after="0"/>
              <w:rPr>
                <w:sz w:val="20"/>
                <w:szCs w:val="20"/>
                <w:color w:val="auto"/>
              </w:rPr>
            </w:pPr>
            <w:r>
              <w:rPr>
                <w:rFonts w:ascii="Arial" w:cs="Arial" w:eastAsia="Arial" w:hAnsi="Arial"/>
                <w:sz w:val="14"/>
                <w:szCs w:val="14"/>
                <w:color w:val="auto"/>
              </w:rPr>
              <w:t>intra-group</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20" w:type="dxa"/>
            <w:vAlign w:val="bottom"/>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(250,050)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(33,240)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(77,705)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(80,895)</w:t>
            </w:r>
          </w:p>
        </w:tc>
        <w:tc>
          <w:tcPr>
            <w:tcW w:w="780" w:type="dxa"/>
            <w:vAlign w:val="bottom"/>
            <w:gridSpan w:val="2"/>
          </w:tcPr>
          <w:p>
            <w:pPr>
              <w:jc w:val="right"/>
              <w:ind w:right="34"/>
              <w:spacing w:after="0"/>
              <w:rPr>
                <w:sz w:val="20"/>
                <w:szCs w:val="20"/>
                <w:color w:val="auto"/>
              </w:rPr>
            </w:pPr>
            <w:r>
              <w:rPr>
                <w:rFonts w:ascii="Arial" w:cs="Arial" w:eastAsia="Arial" w:hAnsi="Arial"/>
                <w:sz w:val="14"/>
                <w:szCs w:val="14"/>
                <w:color w:val="auto"/>
              </w:rPr>
              <w:t>441,890</w:t>
            </w:r>
          </w:p>
        </w:tc>
        <w:tc>
          <w:tcPr>
            <w:tcW w:w="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62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Net cash (used</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in)/provided by</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financing activities with</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external parties</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300,000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(16,028)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170,786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428,092</w:t>
            </w:r>
          </w:p>
        </w:tc>
        <w:tc>
          <w:tcPr>
            <w:tcW w:w="0" w:type="dxa"/>
            <w:vAlign w:val="bottom"/>
          </w:tcPr>
          <w:p>
            <w:pPr>
              <w:spacing w:after="0"/>
              <w:rPr>
                <w:sz w:val="1"/>
                <w:szCs w:val="1"/>
                <w:color w:val="auto"/>
              </w:rPr>
            </w:pPr>
          </w:p>
        </w:tc>
      </w:tr>
      <w:tr>
        <w:trPr>
          <w:trHeight w:val="137"/>
        </w:trPr>
        <w:tc>
          <w:tcPr>
            <w:tcW w:w="1620" w:type="dxa"/>
            <w:vAlign w:val="bottom"/>
          </w:tcPr>
          <w:p>
            <w:pPr>
              <w:spacing w:after="0" w:line="137" w:lineRule="exact"/>
              <w:rPr>
                <w:sz w:val="20"/>
                <w:szCs w:val="20"/>
                <w:color w:val="auto"/>
              </w:rPr>
            </w:pPr>
            <w:r>
              <w:rPr>
                <w:rFonts w:ascii="Arial" w:cs="Arial" w:eastAsia="Arial" w:hAnsi="Arial"/>
                <w:sz w:val="14"/>
                <w:szCs w:val="14"/>
                <w:color w:val="auto"/>
              </w:rPr>
              <w:t>Net cash provided by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40"/>
              <w:spacing w:after="0" w:line="156" w:lineRule="exact"/>
              <w:rPr>
                <w:sz w:val="20"/>
                <w:szCs w:val="20"/>
                <w:color w:val="auto"/>
              </w:rPr>
            </w:pPr>
            <w:r>
              <w:rPr>
                <w:rFonts w:ascii="Arial" w:cs="Arial" w:eastAsia="Arial" w:hAnsi="Arial"/>
                <w:sz w:val="14"/>
                <w:szCs w:val="14"/>
                <w:color w:val="auto"/>
              </w:rPr>
              <w:t>financing activities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20" w:type="dxa"/>
            <w:vAlign w:val="bottom"/>
          </w:tcPr>
          <w:p>
            <w:pPr>
              <w:ind w:left="140"/>
              <w:spacing w:after="0"/>
              <w:rPr>
                <w:sz w:val="20"/>
                <w:szCs w:val="20"/>
                <w:color w:val="auto"/>
              </w:rPr>
            </w:pPr>
            <w:r>
              <w:rPr>
                <w:rFonts w:ascii="Arial" w:cs="Arial" w:eastAsia="Arial" w:hAnsi="Arial"/>
                <w:sz w:val="14"/>
                <w:szCs w:val="14"/>
                <w:color w:val="auto"/>
              </w:rPr>
              <w:t>with intra-group</w:t>
            </w:r>
          </w:p>
        </w:tc>
        <w:tc>
          <w:tcPr>
            <w:tcW w:w="60" w:type="dxa"/>
            <w:vAlign w:val="bottom"/>
          </w:tcPr>
          <w:p>
            <w:pPr>
              <w:spacing w:after="0"/>
              <w:rPr>
                <w:sz w:val="13"/>
                <w:szCs w:val="13"/>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42,885</w:t>
            </w:r>
          </w:p>
        </w:tc>
        <w:tc>
          <w:tcPr>
            <w:tcW w:w="760" w:type="dxa"/>
            <w:vAlign w:val="bottom"/>
            <w:gridSpan w:val="2"/>
            <w:vMerge w:val="restart"/>
          </w:tcPr>
          <w:p>
            <w:pPr>
              <w:jc w:val="right"/>
              <w:ind w:right="42"/>
              <w:spacing w:after="0"/>
              <w:rPr>
                <w:sz w:val="20"/>
                <w:szCs w:val="20"/>
                <w:color w:val="auto"/>
              </w:rPr>
            </w:pPr>
            <w:r>
              <w:rPr>
                <w:rFonts w:ascii="Arial" w:cs="Arial" w:eastAsia="Arial" w:hAnsi="Arial"/>
                <w:sz w:val="14"/>
                <w:szCs w:val="14"/>
                <w:color w:val="auto"/>
              </w:rPr>
              <w:t>92,791</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306,214</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(441,890)</w:t>
            </w:r>
          </w:p>
        </w:tc>
        <w:tc>
          <w:tcPr>
            <w:tcW w:w="80" w:type="dxa"/>
            <w:vAlign w:val="bottom"/>
          </w:tcPr>
          <w:p>
            <w:pPr>
              <w:spacing w:after="0"/>
              <w:rPr>
                <w:sz w:val="13"/>
                <w:szCs w:val="13"/>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20" w:type="dxa"/>
            <w:vAlign w:val="bottom"/>
          </w:tcPr>
          <w:p>
            <w:pPr>
              <w:ind w:left="140"/>
              <w:spacing w:after="0"/>
              <w:rPr>
                <w:sz w:val="20"/>
                <w:szCs w:val="20"/>
                <w:color w:val="auto"/>
              </w:rPr>
            </w:pPr>
            <w:r>
              <w:rPr>
                <w:rFonts w:ascii="Arial" w:cs="Arial" w:eastAsia="Arial" w:hAnsi="Arial"/>
                <w:sz w:val="14"/>
                <w:szCs w:val="14"/>
                <w:color w:val="auto"/>
              </w:rPr>
              <w:t>companies</w:t>
            </w:r>
            <w:r>
              <w:rPr>
                <w:rFonts w:ascii="Arial" w:cs="Arial" w:eastAsia="Arial" w:hAnsi="Arial"/>
                <w:sz w:val="16"/>
                <w:szCs w:val="16"/>
                <w:color w:val="auto"/>
                <w:vertAlign w:val="superscript"/>
              </w:rPr>
              <w:t>(3)</w:t>
            </w:r>
          </w:p>
        </w:tc>
        <w:tc>
          <w:tcPr>
            <w:tcW w:w="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2080" w:right="1458" w:hanging="608"/>
        <w:spacing w:after="0"/>
        <w:rPr>
          <w:sz w:val="20"/>
          <w:szCs w:val="20"/>
          <w:color w:val="auto"/>
        </w:rPr>
      </w:pPr>
      <w:r>
        <w:rPr>
          <w:rFonts w:ascii="Arial" w:cs="Arial" w:eastAsia="Arial" w:hAnsi="Arial"/>
          <w:sz w:val="11"/>
          <w:szCs w:val="11"/>
          <w:color w:val="auto"/>
        </w:rPr>
        <w:t>Notes: (1) Represents the elimination of intercompany balances among DSC Holdings Ltd., our WFOEs and other subsidiaries, and the VIEs and their subsidiaries. The balances of amounts due to our WFOEs by the VIEs and their subsidiaries as of December 31, 2024 and 2025 were RMB130,784 thousand and RMB 138,795 thousand (US$19,847 thousand), respectively. The balances of amounts due to VIEs and their subsidiaries by the WFOEs as of December 31, 2024 and 2025 were RMB16,840 thousand and RMB 32,135 thousand (US$4,595 thousand), respectively.</w:t>
      </w:r>
    </w:p>
    <w:p>
      <w:pPr>
        <w:spacing w:after="0" w:line="2" w:lineRule="exact"/>
        <w:rPr>
          <w:sz w:val="20"/>
          <w:szCs w:val="20"/>
          <w:color w:val="auto"/>
        </w:rPr>
      </w:pPr>
    </w:p>
    <w:p>
      <w:pPr>
        <w:ind w:left="2080" w:right="1458" w:hanging="277"/>
        <w:spacing w:after="0" w:line="236" w:lineRule="auto"/>
        <w:tabs>
          <w:tab w:leader="none" w:pos="2038"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the elimination of the intercompany services at the consolidation level. In 2023, 2024 and 2025, the total amounts of the service fees charged to the VIEs by our WFOEs under the relevant agreements were RMB41,600 thousand, RMB14,848 thousand and RMB 3,953 thousand (US$565 thousand), respectively.</w:t>
      </w:r>
    </w:p>
    <w:p>
      <w:pPr>
        <w:ind w:left="2080" w:right="1458" w:hanging="277"/>
        <w:spacing w:after="0" w:line="243" w:lineRule="auto"/>
        <w:tabs>
          <w:tab w:leader="none" w:pos="2039"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 2023, 2024 and 2025, the VIEs paid to the WFOEs under the relevant agreements for the administrative and delivery services and loans of RMB49,699 thousand, RMB21,050 thousand and RMB6,909 thousand (US$988 thousand), respectively.</w:t>
      </w:r>
    </w:p>
    <w:p>
      <w:pPr>
        <w:spacing w:after="0" w:line="25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48" w:name="page49"/>
    <w:bookmarkEnd w:id="4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RISK FACTORS</w:t>
      </w:r>
    </w:p>
    <w:p>
      <w:pPr>
        <w:spacing w:after="0" w:line="100"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i w:val="1"/>
          <w:iCs w:val="1"/>
          <w:color w:val="auto"/>
        </w:rPr>
        <w:t>You are not purchasing equity securities of our subsidiaries that have substantive business operations in China but instead are purchasing equity securities of a Cayman Islands holding company. DSC Holdings Ltd. is a Cayman Islands holding company that conducts all of its business operations in China through its PRC subsidiaries and the VIEs. Such structure involves unique risks to investors in the ADSs. You should carefully consider the risks and uncertainties described below and the other information in this prospectus before making an investment in the ADSs. Our business, financial condition or results of operations could be materially and adversely affected if any of these risks occurs, and as a result, the market price of the ADSs could decline and you could lose all or part of your investment. In particular, as we are a China-based company incorporated in the Cayman Islands, you should pay special attention to the subsection headed “Risks Related to Doing Business in China” below.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and uncertainties described below and elsewhere in this prospectus.</w:t>
      </w:r>
    </w:p>
    <w:p>
      <w:pPr>
        <w:spacing w:after="0" w:line="144"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6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If we fail to provide a differentiated and superior customer experience and satisfactory services, the size of our customer base and the demand for our services could decline, and our business would be materially and adversely affected.</w:t>
      </w:r>
    </w:p>
    <w:p>
      <w:pPr>
        <w:spacing w:after="0" w:line="6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Providing a differentiated and superior customer experience and satisfactory services for our customers, including both car dealers and OEMs, are critical to our business. Our ability to provide a high-quality customer experience depends on a number of factors, including:</w:t>
      </w:r>
    </w:p>
    <w:p>
      <w:pPr>
        <w:spacing w:after="0" w:line="76" w:lineRule="exact"/>
        <w:rPr>
          <w:sz w:val="20"/>
          <w:szCs w:val="20"/>
          <w:color w:val="auto"/>
        </w:rPr>
      </w:pPr>
    </w:p>
    <w:p>
      <w:pPr>
        <w:ind w:left="1800" w:hanging="136"/>
        <w:spacing w:after="0"/>
        <w:tabs>
          <w:tab w:leader="none" w:pos="1800"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provide customers with high-quality services;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improve our existing services and upgrade our services;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meet the diverse needs of our customers with ongoing innovation and new services;</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maintain and improve operating efficiency, customer experience of online transactions and service quality of our offline networks and personnel;</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leverage technology and data to improve our services;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conduct effective sales and marketing activities to attract and retain our customers and maintain our reputation as a trusted brand;</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adequately train and manage our employees; and</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5"/>
        </w:numPr>
        <w:rPr>
          <w:rFonts w:ascii="Arial" w:cs="Arial" w:eastAsia="Arial" w:hAnsi="Arial"/>
          <w:sz w:val="11"/>
          <w:szCs w:val="11"/>
          <w:color w:val="auto"/>
        </w:rPr>
      </w:pPr>
      <w:r>
        <w:rPr>
          <w:rFonts w:ascii="Arial" w:cs="Arial" w:eastAsia="Arial" w:hAnsi="Arial"/>
          <w:sz w:val="14"/>
          <w:szCs w:val="14"/>
          <w:color w:val="auto"/>
        </w:rPr>
        <w:t>our ability to effectively ensure the quality of services provided by our third-party service providers.</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cannot guarantee that we can continuously provide a differentiated and superior experience to our customers as our business continues to evolve. Our failure to do so would materially and adversely affect our business, financial condition and results of operations.</w:t>
      </w:r>
    </w:p>
    <w:p>
      <w:pPr>
        <w:spacing w:after="0" w:line="13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Our failure to continuously develop new services to meet the evolving needs of customers, or achieve widespread customer adoption of those services, could negatively impact our business and financial results.</w:t>
      </w:r>
    </w:p>
    <w:p>
      <w:pPr>
        <w:spacing w:after="0" w:line="6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success depends on our continued innovation to provide services that are useful for customers or that otherwise provide value to customers. Any failure by us to capture the benefits that we expect from our rollout of new services could have an adverse effect on our business and financial results.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49" w:name="page50"/>
    <w:bookmarkEnd w:id="4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addition to introducing new offerings within our existing services, we anticipate that over time we may reach a point when investments in our current services are less productive and the growth of our revenue will require more focus on developing new services for our customers. These new services, in the aggregate, may need to be widely adopted by our customers in order for us to continue to attract additional customers to our services or we may lose competitive edge in the markets we compete in. Without innovative services, we may be unable to attract additional customers or retain current customers, which could negatively affect our business and financial results. Accordingly, we must continually invest resources in service, technology and development in order to improve the attractiveness and comprehensiveness of our services and effectively incorporate new internet and mobile technologies into them. These expenses for the development of our services and technology may include costs of hiring additional personnel, engaging third-party service providers and conducting other research and development activities, and our ability to engage in such development may decline as a result of, among others, continued uncertainties around the global macroeconomic conditions and any cost-savings initiatives for our business. Moreover, there can be no assurance that innovations to our services, or the development of future services, will enhance customer engagement, achieve market acceptance, create additional revenue or become profitable. In addition, revenue relating to new services is typically unpredictable and our new services may have lower gross margins, lower retention rates, and higher marketing and selling costs than our existing services. We are likely to continue to modify our pricing models for both existing and new services so that the prices for our offerings reflect the value that those offerings provide to our customers. Our pricing models may not effectively reflect the value of our services, and, if we are unable to provide services that customers want to use, they may reduce or cease the use of our services.</w:t>
      </w:r>
    </w:p>
    <w:p>
      <w:pPr>
        <w:spacing w:after="0" w:line="117"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Our business substantially depends on our relationship with our customers, primarily used car dealers and OEMs and their usage of our services. If a significant number of our customers cease to use or do not keep or increase the usage of our services or if we are unable to develop relationship with new customers, our business and financial results would be materially and adversely affected.</w:t>
      </w:r>
    </w:p>
    <w:p>
      <w:pPr>
        <w:spacing w:after="0" w:line="55"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Our ability to expand and generate revenue depends, in part, on our ability to maintain and expand our relationships with customers and convince them to increase their use of our services, including both digitalization solutions and transaction services. Our customers’ usage of our services is also affected by their budgets and spending patterns, which in turn may be affected by macroeconomic, intensified competition, or other factors beyond our control. If our customers do not increase their use of our services, our revenue may not grow and our results of operations may be harmed. We may also be required to spend significantly more on sales and marketing than we currently plan to spend in order to maintain or increase revenue. These additional expenditures could adversely affect our business, results of operations and financial condition. Our customers may cease or reduce their usage of our services due to a variety of reasons or factors, such as constrained budgets for spending on digitalization solutions and transaction services during economic downturns or increased competition, dissatisfaction arising from perceived shortcomings in the quality of our offerings, rapid technological advancements rendering our services obsolete, allegations and rumors relating to our services, and other circumstances that are outside our or our customers’ control. More specifically, the subscription fees paid to us by used car dealers and new car brokers for access to our digitalization solutions are an increasingly important part of our revenue, and the majority of our contracts with these customers currently provide for one-year committed terms, with no contractual obligations requiring them to maintain their relationship with us beyond the committed term. Accordingly, these used car dealers and new car brokers may cancel their subscriptions with us in accordance with the terms of their subscription and may choose not to renew their subscriptions upon expiration. In such events, our business and financial results may be materially and adversely affected.</w:t>
      </w:r>
    </w:p>
    <w:p>
      <w:pPr>
        <w:spacing w:after="0" w:line="108"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past performance is not indicative of our future growth, and our growth in the future is uncertain.</w:t>
      </w:r>
    </w:p>
    <w:p>
      <w:pPr>
        <w:spacing w:after="0" w:line="2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total revenues increased by 4.3% from RMB909.0 million in 2023 to RMB948.2 million in 2024. Our total revenues decreased by 28.6% to RMB677.1 million (US$96.8 million) in 2025, primarily attributable to the Disposition in December 2024. Our historical performance which included revenues from the financial product referral services prior to the Disposition is not</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0" w:name="page51"/>
    <w:bookmarkEnd w:id="5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indicative of our future growth and our future revenue may not grow at our historical rate and could potentially be impacted by external factors outside our control. Our historical revenue growth was partially driven by the growth of financial product referral services. Therefore, our Disposition has had a negative impact on our total revenues and certain operating measures such as ARPU in the short to medium term on an absolute basis. Our revenue from digitalization solutions also fluctuated as we continued to adopt a more selective approach to accepting new projects due to profitability and receivable collection requirements. In addition, we will not be able to grow as expected, or at all, if we fail to increase the number of customers using our services, maintain and expand the number of dealers and OEMs that subscribe to our services and maintain and increase the fees that they are paying, further improve the quality of our services and introduce high quality new services, and provide more value-added services to our customers. If our revenue declines or fails to grow, investors’ perceptions of our business may be adversely affected, and our financial position may deteriorate.</w:t>
      </w:r>
    </w:p>
    <w:p>
      <w:pPr>
        <w:spacing w:after="0" w:line="5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Prior to the Restructuring, Souche Holdings Ltd was the sole entity for equity financing and the cash proceeds from such equity financings were allocated on an as-needed basis between the businesses we currently operate and the other subsidiaries of Souche Holdings Ltd. The cash allocated to us has been recorded as inter-company loans, as opposed to capital contribution, from Souche Holdings Ltd. After the Restructuring, the Predecessor continued to provide interest-free loans to the Group to meet the working capital needs. Certain of these loans were subsequently waived or extended. As a result, our historical financial information may not be indicative of our future results of operations, financial position, shareholders’ deficit and cash flows, had we operated as a standalone entity and contracted at arm’s length with unrelated third parties for funding. For more details about the Restructuring, see “Corporate History and Structure.” For more information about our transactions with Souche Holdings Ltd, see “Management’s Discussion and Analysis of Financial Condition and Results of Operations — Liquidity and Capital Resources,” “Related Party Transactions” and Note 1 to our combined and consolidated financial statements included elsewhere in this prospectus.</w:t>
      </w:r>
    </w:p>
    <w:p>
      <w:pPr>
        <w:spacing w:after="0" w:line="109"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have a history of losses and have negative cash flows from operations, and we may not be able to achieve or sustain profitability in the future.</w:t>
      </w:r>
    </w:p>
    <w:p>
      <w:pPr>
        <w:spacing w:after="0" w:line="2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have a history of losses. We incurred losses from operations of RMB190.6 million, RMB188.6 million and RMB101.9 million (US$14.6 million) in 2023, 2024 and 2025, respectively. In addition, we had negative cash flow from operating activities of RMB163.4 million, RMB212.5 million and RMB90.4 million (US$12.9 million) in 2023, 2024 and 2025, respectively.</w:t>
      </w:r>
    </w:p>
    <w:p>
      <w:pPr>
        <w:spacing w:after="0" w:line="4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ability to achieve profitability is heavily dependent on our ability to achieve revenue growth and to successfully execute our business plans in order to decrease operating cash outflows, including increasing sales of our services and continuing to control and optimize operating costs and expenses. To execute these business plans, we will continue to gain reputation among customers and brand recognition through offering high-quality services, which may also boost our market share in the respective markets. Meanwhile, we will continue to optimize our cost and expense structure to improve the capital and operating efficiency of our business. However, we may need to continue to invest heavily in various aspects of our operations, such as labor, infrastructure, research and development, and sales and marketing, to facilitate our expansion in the future. These investments may not lead to revenue increase or generate positive cash flows in time, or at all.</w:t>
      </w:r>
    </w:p>
    <w:p>
      <w:pPr>
        <w:spacing w:after="0" w:line="5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may continue to incur significant losses in the future for a number of reasons, including reduced demand for our services, increasing competition, sluggishness in the automobile industry generally and of the business of our customers in particular and other risks described in this prospectus, and we may encounter unforeseen expenses, difficulties, complications and delays, and other unknown factors. If we continue to incur losses in the future, we may not be able to reduce costs effectively because many of our costs are fixed. In addition, if we reduce variable costs to respond to losses, this may affect our ability to acquire customers, improve our services and grow our revenues. Accordingly, we may not be able to achieve or maintain profitability and we may continue to incur significant losses in the future, and this could seriously harm our business and cause the price of our ADSs to decline.</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1" w:name="page52"/>
    <w:bookmarkEnd w:id="5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business is subject to risks related to China’s auto commerce industry, including industry-wide and macroeconomic risks.</w:t>
      </w:r>
    </w:p>
    <w:p>
      <w:pPr>
        <w:spacing w:after="0" w:line="4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provide car dealers and OEMs in China with a comprehensive range of digitalization solutions and transaction services. We cannot assure you that this market will continue to grow rapidly in the future. Furthermore, the growth of China’s new car and used car industry could be affected by many factors, including:</w:t>
      </w:r>
    </w:p>
    <w:p>
      <w:pPr>
        <w:spacing w:after="0" w:line="79" w:lineRule="exact"/>
        <w:rPr>
          <w:sz w:val="20"/>
          <w:szCs w:val="20"/>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general economic conditions in China and around the world;</w:t>
      </w:r>
    </w:p>
    <w:p>
      <w:pPr>
        <w:spacing w:after="0" w:line="10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26"/>
        </w:numPr>
        <w:rPr>
          <w:rFonts w:ascii="Arial" w:cs="Arial" w:eastAsia="Arial" w:hAnsi="Arial"/>
          <w:sz w:val="11"/>
          <w:szCs w:val="11"/>
          <w:color w:val="auto"/>
        </w:rPr>
      </w:pPr>
      <w:r>
        <w:rPr>
          <w:rFonts w:ascii="Arial" w:cs="Arial" w:eastAsia="Arial" w:hAnsi="Arial"/>
          <w:sz w:val="14"/>
          <w:szCs w:val="14"/>
          <w:color w:val="auto"/>
        </w:rPr>
        <w:t>macroeconomic issues around the world, such as global semiconductor chip shortage; the growth of disposable household income and the availability and cost of credit available to finance used car purchases;</w:t>
      </w:r>
    </w:p>
    <w:p>
      <w:pPr>
        <w:spacing w:after="0" w:line="65"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the growth and evolution of and challenges in China’s automobile industry;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industry-wide transition, including in light of intensified competition;</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the growth of China’s auto financing industry;</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consumer acceptance of used cars and willingness to purchase used cars;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people’s general preference for passenger vehicles as the means of transportation;</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consumer acceptance of financing car purchases;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taxes and other incentives or disincentives related to used car purchases and ownership;</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environmental concerns and measures taken to address these concerns;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6"/>
        </w:numPr>
        <w:rPr>
          <w:rFonts w:ascii="Arial" w:cs="Arial" w:eastAsia="Arial" w:hAnsi="Arial"/>
          <w:sz w:val="11"/>
          <w:szCs w:val="11"/>
          <w:color w:val="auto"/>
        </w:rPr>
      </w:pPr>
      <w:r>
        <w:rPr>
          <w:rFonts w:ascii="Arial" w:cs="Arial" w:eastAsia="Arial" w:hAnsi="Arial"/>
          <w:sz w:val="14"/>
          <w:szCs w:val="14"/>
          <w:color w:val="auto"/>
        </w:rPr>
        <w:t>the cost of energy, including gasoline prices, and the cost of car license plates in various cities with license plate lottery or auction systems;</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the improvement of the highway system and availability of parking facilities;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other government policies relating to used cars and auto financing in China;</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fluctuations in the sales and price of new and used cars;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26"/>
        </w:numPr>
        <w:rPr>
          <w:rFonts w:ascii="Arial" w:cs="Arial" w:eastAsia="Arial" w:hAnsi="Arial"/>
          <w:sz w:val="11"/>
          <w:szCs w:val="11"/>
          <w:color w:val="auto"/>
        </w:rPr>
      </w:pPr>
      <w:r>
        <w:rPr>
          <w:rFonts w:ascii="Arial" w:cs="Arial" w:eastAsia="Arial" w:hAnsi="Arial"/>
          <w:sz w:val="14"/>
          <w:szCs w:val="14"/>
          <w:color w:val="auto"/>
        </w:rPr>
        <w:t>serious pandemic or other contagious diseases;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6"/>
        </w:numPr>
        <w:rPr>
          <w:rFonts w:ascii="Arial" w:cs="Arial" w:eastAsia="Arial" w:hAnsi="Arial"/>
          <w:sz w:val="11"/>
          <w:szCs w:val="11"/>
          <w:color w:val="auto"/>
        </w:rPr>
      </w:pPr>
      <w:r>
        <w:rPr>
          <w:rFonts w:ascii="Arial" w:cs="Arial" w:eastAsia="Arial" w:hAnsi="Arial"/>
          <w:sz w:val="14"/>
          <w:szCs w:val="14"/>
          <w:color w:val="auto"/>
        </w:rPr>
        <w:t>ride sharing, transportation networks and other fundamental changes in transportation patterns; and</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6"/>
        </w:numPr>
        <w:rPr>
          <w:rFonts w:ascii="Arial" w:cs="Arial" w:eastAsia="Arial" w:hAnsi="Arial"/>
          <w:sz w:val="11"/>
          <w:szCs w:val="11"/>
          <w:color w:val="auto"/>
        </w:rPr>
      </w:pPr>
      <w:r>
        <w:rPr>
          <w:rFonts w:ascii="Arial" w:cs="Arial" w:eastAsia="Arial" w:hAnsi="Arial"/>
          <w:sz w:val="14"/>
          <w:szCs w:val="14"/>
          <w:color w:val="auto"/>
        </w:rPr>
        <w:t>other industry-wide issues, including supply and demand for used cars, age distribution of cars, seasonality of used car retail market and supply chain challenges.</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Any adverse change to these factors could reduce demand for used cars and hence demand for our services, and our business, financial condition and results of operations could be materially and adversely affected.</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Purchases of used vehicles are typically discretionary for consumers and have been, and may continue to be, affected by negative trends in the economy and other factors, including the availability of new vehicles, the difference between wholesale and retail prices, rising interest rates, the cost of energy and gasoline, changes in consumer behavior, the availability and cost of consumer credit, and the reduction in consumer confidence. These factors may have a negative impact on our customers’ ability and willingness to purchase our services, which could, in turn, have an adverse effect on our business, financial condition and results of operations.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2" w:name="page53"/>
    <w:bookmarkEnd w:id="5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General business and economic condition, including a severe and prolonged global economic recession and the slowdown in the Chinese economy, may adversely affect our business and results of operations.</w:t>
      </w:r>
    </w:p>
    <w:p>
      <w:pPr>
        <w:spacing w:after="0" w:line="5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market for the automotive industry in China is affected by general business and economic conditions, especially as a result of the general uncertainties around the global macroeconomic conditions, deflationary pressures in China and weakness in the domestic property market, among other factors. Volatility caused by such events has resulted in, or may result in, customers’ reduced demand for our services, reduced spending on vehicles, inability of customers to obtain credit to finance purchases of vehicles and decreased confidence to make discretionary purchases.</w:t>
      </w:r>
    </w:p>
    <w:p>
      <w:pPr>
        <w:spacing w:after="0" w:line="8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global macroeconomic environment continues to face numerous challenges. China’s economic growth has moderated in recent years, with GDP growth of approximately 5.0% in 2024, according to the National Bureau of Statistics of China, against a backdrop of persistent deflationary pressures and subdued consumer confidence. The PRC government has implemented a series of stimulus measures in recent years, including vehicle trade-in subsidies and consumption incentive programs, and we cannot assure you that these measures will be sustained or will continue to stimulate demand at current levels. There is uncertainty over the long-term effects of the expansionary monetary and fiscal policies which have been adopted by the central banks and financial authorities of some of the world’s leading economies, including China and the United States. Unrest, terrorist threats and the potential of war in the Middle East and elsewhere may increase market volatility across the globe. In particular, the relationship between China and the United States has experienced significant deterioration in recent years, including the imposition of substantial tariffs and export controls, contributing to ongoing uncertainty with respect to trade policies, treaties, government regulations and tariffs between the two countries. It is unclear whether these challenges and uncertainties will be contained or resolved and what effects they may have on the global political and economic conditions in the long term.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financial condition and results of operations.</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limited operating history makes it difficult to evaluate our future prospects and results of operations.</w:t>
      </w:r>
    </w:p>
    <w:p>
      <w:pPr>
        <w:spacing w:after="0" w:line="5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believe that our future success depends on our ability to achieve sustainable and profitable growth. We have recently completed a business restructuring and have a limited history operating as an integrated business focusing on digitalization solutions and transaction services. For more information about the restructuring, see “Corporate History and Structure.” Our limited operating history, and in particular our limited operating history after the Disposition, makes it difficult to evaluate our future prospects and results of operations. In addition, fluctuations in results could make period-to-period comparisons difficult. You should consider our future prospects in light of the risks and challenges encountered by a company with a limited operating history. These risks and challenges include, among others:</w:t>
      </w:r>
    </w:p>
    <w:p>
      <w:pPr>
        <w:spacing w:after="0" w:line="74" w:lineRule="exact"/>
        <w:rPr>
          <w:sz w:val="20"/>
          <w:szCs w:val="20"/>
          <w:color w:val="auto"/>
        </w:rPr>
      </w:pPr>
    </w:p>
    <w:p>
      <w:pPr>
        <w:ind w:left="1800" w:hanging="136"/>
        <w:spacing w:after="0"/>
        <w:tabs>
          <w:tab w:leader="none" w:pos="1800" w:val="left"/>
        </w:tabs>
        <w:numPr>
          <w:ilvl w:val="0"/>
          <w:numId w:val="27"/>
        </w:numPr>
        <w:rPr>
          <w:rFonts w:ascii="Arial" w:cs="Arial" w:eastAsia="Arial" w:hAnsi="Arial"/>
          <w:sz w:val="11"/>
          <w:szCs w:val="11"/>
          <w:color w:val="auto"/>
        </w:rPr>
      </w:pPr>
      <w:r>
        <w:rPr>
          <w:rFonts w:ascii="Arial" w:cs="Arial" w:eastAsia="Arial" w:hAnsi="Arial"/>
          <w:sz w:val="14"/>
          <w:szCs w:val="14"/>
          <w:color w:val="auto"/>
        </w:rPr>
        <w:t>the uncertainties associated with our ability to continue our growth and maintain profitability;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7"/>
        </w:numPr>
        <w:rPr>
          <w:rFonts w:ascii="Arial" w:cs="Arial" w:eastAsia="Arial" w:hAnsi="Arial"/>
          <w:sz w:val="11"/>
          <w:szCs w:val="11"/>
          <w:color w:val="auto"/>
        </w:rPr>
      </w:pPr>
      <w:r>
        <w:rPr>
          <w:rFonts w:ascii="Arial" w:cs="Arial" w:eastAsia="Arial" w:hAnsi="Arial"/>
          <w:sz w:val="14"/>
          <w:szCs w:val="14"/>
          <w:color w:val="auto"/>
        </w:rPr>
        <w:t>preserving our competitive position in the markets in which we operate;</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27"/>
        </w:numPr>
        <w:rPr>
          <w:rFonts w:ascii="Arial" w:cs="Arial" w:eastAsia="Arial" w:hAnsi="Arial"/>
          <w:sz w:val="11"/>
          <w:szCs w:val="11"/>
          <w:color w:val="auto"/>
        </w:rPr>
      </w:pPr>
      <w:r>
        <w:rPr>
          <w:rFonts w:ascii="Arial" w:cs="Arial" w:eastAsia="Arial" w:hAnsi="Arial"/>
          <w:sz w:val="14"/>
          <w:szCs w:val="14"/>
          <w:color w:val="auto"/>
        </w:rPr>
        <w:t>offering consistent and high-quality services to retain and attract customers;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7"/>
        </w:numPr>
        <w:rPr>
          <w:rFonts w:ascii="Arial" w:cs="Arial" w:eastAsia="Arial" w:hAnsi="Arial"/>
          <w:sz w:val="11"/>
          <w:szCs w:val="11"/>
          <w:color w:val="auto"/>
        </w:rPr>
      </w:pPr>
      <w:r>
        <w:rPr>
          <w:rFonts w:ascii="Arial" w:cs="Arial" w:eastAsia="Arial" w:hAnsi="Arial"/>
          <w:sz w:val="14"/>
          <w:szCs w:val="14"/>
          <w:color w:val="auto"/>
        </w:rPr>
        <w:t>implementing our strategies and modifying them from time to time to respond effectively to competition and changes in customer preferences;</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27"/>
        </w:numPr>
        <w:rPr>
          <w:rFonts w:ascii="Arial" w:cs="Arial" w:eastAsia="Arial" w:hAnsi="Arial"/>
          <w:sz w:val="11"/>
          <w:szCs w:val="11"/>
          <w:color w:val="auto"/>
        </w:rPr>
      </w:pPr>
      <w:r>
        <w:rPr>
          <w:rFonts w:ascii="Arial" w:cs="Arial" w:eastAsia="Arial" w:hAnsi="Arial"/>
          <w:sz w:val="14"/>
          <w:szCs w:val="14"/>
          <w:color w:val="auto"/>
        </w:rPr>
        <w:t>enhancing awareness of our brand and continuing to build customer loyalty; and</w:t>
      </w:r>
    </w:p>
    <w:p>
      <w:pPr>
        <w:spacing w:after="0" w:line="108" w:lineRule="exact"/>
        <w:rPr>
          <w:rFonts w:ascii="Arial" w:cs="Arial" w:eastAsia="Arial" w:hAnsi="Arial"/>
          <w:sz w:val="11"/>
          <w:szCs w:val="11"/>
          <w:color w:val="auto"/>
        </w:rPr>
      </w:pPr>
    </w:p>
    <w:p>
      <w:pPr>
        <w:ind w:left="1780" w:hanging="116"/>
        <w:spacing w:after="0"/>
        <w:tabs>
          <w:tab w:leader="none" w:pos="1780" w:val="left"/>
        </w:tabs>
        <w:numPr>
          <w:ilvl w:val="0"/>
          <w:numId w:val="27"/>
        </w:numPr>
        <w:rPr>
          <w:rFonts w:ascii="Arial" w:cs="Arial" w:eastAsia="Arial" w:hAnsi="Arial"/>
          <w:sz w:val="11"/>
          <w:szCs w:val="11"/>
          <w:color w:val="auto"/>
        </w:rPr>
      </w:pPr>
      <w:r>
        <w:rPr>
          <w:rFonts w:ascii="Arial" w:cs="Arial" w:eastAsia="Arial" w:hAnsi="Arial"/>
          <w:sz w:val="14"/>
          <w:szCs w:val="14"/>
          <w:color w:val="auto"/>
        </w:rPr>
        <w:t>recruiting, training and retaining qualified managerial and other personnel.</w:t>
      </w:r>
    </w:p>
    <w:p>
      <w:pPr>
        <w:spacing w:after="0" w:line="13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3" w:name="page54"/>
    <w:bookmarkEnd w:id="5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If we are unsuccessful in addressing any of these risks or challenges, our business may be materially and adversely affected.</w:t>
      </w:r>
    </w:p>
    <w:p>
      <w:pPr>
        <w:spacing w:after="0" w:line="116"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cannot guarantee that our monetization strategies, including up- and cross-selling initiatives, will be successfully implemented or generate sustainable revenues and profits.</w:t>
      </w:r>
    </w:p>
    <w:p>
      <w:pPr>
        <w:spacing w:after="0" w:line="52"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 xml:space="preserve">We are at the early stage of monetizing our multiple services, and our monetization model is evolving. We believe we are in the early stage of monetizing our services, and our monetization strategies primarily include, among others, (i) enhancing the premium features and functions of our digitalization solutions to drive paying dealer conversion, (ii) leveraging our digitalization solutions to up- and cross-sell our transaction services, (iii) introducing our wide range of transaction services to our existing customers and (iv) broadening the scope of our transaction services to encompass more services and monetization opportunities. However, our new monetization initiatives are uncertain and may not achieve the anticipated effect. For instance, with respect to </w:t>
      </w:r>
      <w:r>
        <w:rPr>
          <w:rFonts w:ascii="Arial" w:cs="Arial" w:eastAsia="Arial" w:hAnsi="Arial"/>
          <w:sz w:val="13"/>
          <w:szCs w:val="13"/>
          <w:i w:val="1"/>
          <w:iCs w:val="1"/>
          <w:color w:val="auto"/>
        </w:rPr>
        <w:t>DaFengChe</w:t>
      </w:r>
      <w:r>
        <w:rPr>
          <w:rFonts w:ascii="Arial" w:cs="Arial" w:eastAsia="Arial" w:hAnsi="Arial"/>
          <w:sz w:val="13"/>
          <w:szCs w:val="13"/>
          <w:color w:val="auto"/>
        </w:rPr>
        <w:t>, we currently use a freemium model to acquire dealer participation and generate revenues by selling dealers annual subscription packages that allow them to access additional functionalities and privileges. Nonetheless, we cannot guarantee that we can successfully convert nonpaying dealers into paying customers or we will be able to successfully up- and cross-sell our services to customers.</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cannot assure you that we can successfully implement the existing business model to generate sustainable revenues, especially with respect to our attempts in broadening monetization model with limited track records, or that we will be able to develop new monetization strategies to grow our revenues. If we fail to maintain the implementation of our existing business model or develop new monetization approaches, we may not be able to maintain or increase our revenues or effectively manage any associated costs.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addition, we may introduce new services for which we have little or no prior development or operating experience. If these new services fail to meet customers’ expectations or achieve expected adoption among customers, we may fail to diversify our revenue streams or generate sufficient revenues to justify our investments and costs, and our business and operating results may suffer as a result. Moreover, the industries and market segments into which we may expand the scope of our services may be subject to extensive and evolving laws, regulations, licensing requirements, and governmental oversight and there can be no assurance that the current regulatory framework will not change in a manner that restricts, imposes additional compliance burdens on, or otherwise adversely affects our ability to offer or expand our services.</w:t>
      </w:r>
    </w:p>
    <w:p>
      <w:pPr>
        <w:spacing w:after="0" w:line="13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b w:val="1"/>
          <w:bCs w:val="1"/>
          <w:i w:val="1"/>
          <w:iCs w:val="1"/>
          <w:color w:val="auto"/>
        </w:rPr>
        <w:t>We may face increasing competition or be unable to continue to compete effectively in our industry, which may lead to loss of market share, reduced revenue, increased expenses, departures of qualified employees and disputes with competitors. Furthermore, our current and potential competitors may have significantly greater resources than we do and may also develop and market new services that may adversely affect our business and operating results.</w:t>
      </w:r>
    </w:p>
    <w:p>
      <w:pPr>
        <w:spacing w:after="0" w:line="7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face intense competition in the industry in which we operate. Our competitors primarily include other providers of transaction services for car dealers and OEMs, most of whom operate on small scales in local markets. Due to their limited operating scale, these competitors may be able to adapt to industry developments and regulatory changes more quickly and efficiently than we do and may offer comparable services at more competitive prices. Our current and future competitors may also have significantly more resources than we do, including financial, technological, marketing and other resources and may be able to devote greater resources to the development and promotion of their platforms and services. They may have deeper relationships with dealerships, OEMs, financial institutions providing auto financing services and other third-party service providers than we do. This could allow them to develop new services, adapt more quickly to changes in technology and undertake more extensive marketing campaigns, which may render our services less attractive to customers and businesses and cause us to lose market share. Moreover, intense competition in the markets we operate in may reduce our gross margin, lower our service fees, increase our operating expenses and capital expenditures, and lead to departures of our qualified employees. Failure to compete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4" w:name="page55"/>
    <w:bookmarkEnd w:id="5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with current and potential competitors could materially harm our business, financial condition and results of operations. Furthermore, we may also be harmed by negative publicity instigated by our competitors, regardless of its validity. We encountered and may in the future continue to encounter various disputes with our competitors, including lawsuits involving claims asserted under intellectual property infringement, unfair competition and defamation, which may adversely affect our business and reputation and may divert our management team’s attention from implementing our business strategies and adversely affect our business operation and financial condition.</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If we are unable to compete with our competitors, the demand for our services could substantially decline. In addition, if one or more of our competitors were to merge or partner with another one of our competitors, the change in the competitive landscape could adversely affect our ability to compete effectively. Our competitors may also establish or strengthen cooperative relationships with our current or future suppliers, or other parties with whom we have collaborations, thereby limiting our ability to develop, improve and grow our business. We may not be able to compete successfully against current or future competitors, and competitive pressures may harm our revenue, business and financial results.</w:t>
      </w:r>
    </w:p>
    <w:p>
      <w:pPr>
        <w:spacing w:after="0" w:line="11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operate in the used car transaction service market in China, which is emerging, rapidly evolving and competitive. As a result, predicting our prospects is challenging and our historical operating and financial results may not necessarily predict our future performance.</w:t>
      </w:r>
    </w:p>
    <w:p>
      <w:pPr>
        <w:spacing w:after="0" w:line="4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operate in China’s used car transaction service market, which is emerging, rapidly evolving and fiercely competitive. As our business grows and the regulatory landscape evolves in the used car transaction service market, we continue to introduce new solutions and services, optimize existing ones, and adjust our business portfolio as needed. For instance, in November 2024, we entered into agreements to sell all of our equity interests in the PRC entities operating the financial product referral services as part of our efforts to better allocate corporate resources to serve the essential needs of used car dealers. The transaction was closed in December 2024.</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Changes to our service offerings may not yield the anticipated results and could have an adverse impact on our financial condition and results of operations. As a result, it is challenging to predict our future prospects accurately. If we fail to meet the needs of our customers, or if the market for as well as the regulatory environment surrounding our offerings do not evolve or develop as expected, our business and results of operations may suffer.</w:t>
      </w:r>
    </w:p>
    <w:p>
      <w:pPr>
        <w:spacing w:after="0" w:line="107"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If we are unable to effectively manage our growth or implement our business strategies, our business, financial condition and results of operations may be materially and adversely affected.</w:t>
      </w:r>
    </w:p>
    <w:p>
      <w:pPr>
        <w:spacing w:after="0" w:line="4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Our business and prospects depend in part on our ability to effectively manage our growth or implement our growth strategies. As part of our business strategies, we intend to continue to enhance our leadership in digitalizing auto commerce in China, increase the penetration of our transaction services, promote AI-enabled application to empower auto merchants, and expand globally leveraging our digitalization capabilities and industry know-how. Our experience in the markets in which we currently operate may not be applicable to the new markets we intend to expand into, and we may therefore not be able to leverage our existing experience to grow further. As a result, our expansion, business and monetization strategies may not be successful. Furthermore, expanding into new geographical markets will require us to hire additional employees to cover these markets. To sustain our growth, we will incur additional compensation and payroll costs, office rental expenses and other costs, as well as experience additional strain on our managerial resources. If we are unable to successfully implement our business strategies to manage our growth and generate sufficient revenues to cover our increased costs and expenses, our business, financial condition and results of operations may be materially and adversely affected.</w:t>
      </w:r>
    </w:p>
    <w:p>
      <w:pPr>
        <w:spacing w:after="0" w:line="76"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Furthermore, our expansion into new service categories may expose us to new challenges and more risks. Although we have been successful in expanding into new service categories and businesses, we cannot assure you that we will be able to continue our success in expansion into new service categories. Our lack of experience with these new service categories may adversely affect</w:t>
      </w:r>
    </w:p>
    <w:p>
      <w:pPr>
        <w:spacing w:after="0" w:line="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5" w:name="page56"/>
    <w:bookmarkEnd w:id="5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our prospects and our ability to compete with the existing market players in any of these service categories. Moreover, the expansion into new businesses may disrupt our ongoing business, distract our management and employees and increase our expenses to cover unforeseen or hidden liabilities or costs. We may also face challenges in achieving the expected benefits of synergies and growth opportunities in connection with these new service categories and businesses. Besides, we may be subject to additional compliance requirements for these new service categories and businesses. Failure to expand successfully may also diminish investor confidence in our decision-making and execution capabilities, which could materially and adversely affect our business, results of operations, financial condition and prospects.</w:t>
      </w:r>
    </w:p>
    <w:p>
      <w:pPr>
        <w:spacing w:after="0" w:line="63"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Moreover, our business upgrade and expansion may lead to new challenges and risks. As a result, we need to continuously expand and enhance our infrastructure and technology, and improve our operational and financial systems, procedures and internal controls. We also need to train, manage and motivate our employees. In addition, we need to maintain and strengthen our relationships with our suppliers, customers, third-party service providers and other third parties. We cannot assure you that our personnel, infrastructure, systems, procedures and internal controls will be adequate to support our operations. Effectively managing our growth is dependent on a number of other factors, including our ability to:</w:t>
      </w:r>
    </w:p>
    <w:p>
      <w:pPr>
        <w:spacing w:after="0" w:line="77" w:lineRule="exact"/>
        <w:rPr>
          <w:sz w:val="20"/>
          <w:szCs w:val="20"/>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help our customers locate high-quality used vehicles;</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continue to improve our existing services and customer’s satisfaction;</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launch new services and develop cross-selling opportunities;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stabilize our costs and expenses and enhance our efficiency;</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recruit and retain skilled and experienced employees;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8"/>
        </w:numPr>
        <w:rPr>
          <w:rFonts w:ascii="Arial" w:cs="Arial" w:eastAsia="Arial" w:hAnsi="Arial"/>
          <w:sz w:val="11"/>
          <w:szCs w:val="11"/>
          <w:color w:val="auto"/>
        </w:rPr>
      </w:pPr>
      <w:r>
        <w:rPr>
          <w:rFonts w:ascii="Arial" w:cs="Arial" w:eastAsia="Arial" w:hAnsi="Arial"/>
          <w:sz w:val="14"/>
          <w:szCs w:val="14"/>
          <w:color w:val="auto"/>
        </w:rPr>
        <w:t>strengthen relationships with our existing business partners and establish collaborations with new business partners;</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improve our risk management and internal control;</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effectively expand into new geographic markets;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28"/>
        </w:numPr>
        <w:rPr>
          <w:rFonts w:ascii="Arial" w:cs="Arial" w:eastAsia="Arial" w:hAnsi="Arial"/>
          <w:sz w:val="11"/>
          <w:szCs w:val="11"/>
          <w:color w:val="auto"/>
        </w:rPr>
      </w:pPr>
      <w:r>
        <w:rPr>
          <w:rFonts w:ascii="Arial" w:cs="Arial" w:eastAsia="Arial" w:hAnsi="Arial"/>
          <w:sz w:val="14"/>
          <w:szCs w:val="14"/>
          <w:color w:val="auto"/>
        </w:rPr>
        <w:t>establish relationships with third-party service providers in new geographical areas into which we plan to expand;</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upgrade our technology and continue to innovate new services; and</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28"/>
        </w:numPr>
        <w:rPr>
          <w:rFonts w:ascii="Arial" w:cs="Arial" w:eastAsia="Arial" w:hAnsi="Arial"/>
          <w:sz w:val="11"/>
          <w:szCs w:val="11"/>
          <w:color w:val="auto"/>
        </w:rPr>
      </w:pPr>
      <w:r>
        <w:rPr>
          <w:rFonts w:ascii="Arial" w:cs="Arial" w:eastAsia="Arial" w:hAnsi="Arial"/>
          <w:sz w:val="14"/>
          <w:szCs w:val="14"/>
          <w:color w:val="auto"/>
        </w:rPr>
        <w:t>enhance synergies among our services.</w:t>
      </w:r>
    </w:p>
    <w:p>
      <w:pPr>
        <w:spacing w:after="0" w:line="8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If we fail to effectively manage our growth or implement our business strategies, our business, financial condition and results of operations may be materially and adversely affected.</w:t>
      </w:r>
    </w:p>
    <w:p>
      <w:pPr>
        <w:spacing w:after="0" w:line="95"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Failure to achieve the anticipated synergies among our diverse portfolio of services could materially and adversely affect our business.</w:t>
      </w:r>
    </w:p>
    <w:p>
      <w:pPr>
        <w:spacing w:after="0" w:line="41"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 xml:space="preserve">Over the years, we have continued to invest in promoting synergies among our services, with a view to not only achieving greater economies of scale but also creating compelling long-term values for our customers. We have already constructed a solid bedrock of digitalization solutions that can address our customers’ daily operation need. Building on our comprehensive digitalization solutions, we have introduced various transaction services to our customers and integrated such transactions into our digitalization solutions. For example, we are in the process of further integrating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to allow dealers to list their inventories and complete vehicle sales more easily. Furthermore, we expect the synergies between our complementary transaction services to enable us to up- and cross-sell our different transaction services to the same customer to assist them with vehicle transactions. Failure to achieve the anticipated synergies from the integration of our services would materially affect our business, financial condition and results of operations.</w:t>
      </w:r>
    </w:p>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6" w:name="page57"/>
    <w:bookmarkEnd w:id="5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Our business generates and processes a large amount of data and is subject to various evolving laws and regulations regarding cybersecurity and data privacy. Failure to address cybersecurity and data privacy concerns could subject us to significant reputational, financial, legal and operational consequences, and deter current and potential customers from using our services.</w:t>
      </w:r>
    </w:p>
    <w:p>
      <w:pPr>
        <w:spacing w:after="0" w:line="6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business generates and processes a large quantity of data. We face risks inherent in handling and protecting a large amount of data that our business generates and processes from the significant number of vehicle transactions our platform facilitates. In particular, we face a number of challenges relating to data from transactions and other activities on our platform, including:</w:t>
      </w:r>
    </w:p>
    <w:p>
      <w:pPr>
        <w:spacing w:after="0" w:line="79" w:lineRule="exact"/>
        <w:rPr>
          <w:sz w:val="20"/>
          <w:szCs w:val="20"/>
          <w:color w:val="auto"/>
        </w:rPr>
      </w:pPr>
    </w:p>
    <w:p>
      <w:pPr>
        <w:ind w:left="1800" w:right="1398" w:hanging="136"/>
        <w:spacing w:after="0" w:line="271" w:lineRule="auto"/>
        <w:tabs>
          <w:tab w:leader="none" w:pos="1804" w:val="left"/>
        </w:tabs>
        <w:numPr>
          <w:ilvl w:val="0"/>
          <w:numId w:val="29"/>
        </w:numPr>
        <w:rPr>
          <w:rFonts w:ascii="Arial" w:cs="Arial" w:eastAsia="Arial" w:hAnsi="Arial"/>
          <w:sz w:val="11"/>
          <w:szCs w:val="11"/>
          <w:color w:val="auto"/>
        </w:rPr>
      </w:pPr>
      <w:r>
        <w:rPr>
          <w:rFonts w:ascii="Arial" w:cs="Arial" w:eastAsia="Arial" w:hAnsi="Arial"/>
          <w:sz w:val="14"/>
          <w:szCs w:val="14"/>
          <w:color w:val="auto"/>
        </w:rPr>
        <w:t>protecting the data in and hosted on our system, including against attacks on our system by outside parties or fraudulent behavior or improper use by our employees or business partners;</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29"/>
        </w:numPr>
        <w:rPr>
          <w:rFonts w:ascii="Arial" w:cs="Arial" w:eastAsia="Arial" w:hAnsi="Arial"/>
          <w:sz w:val="11"/>
          <w:szCs w:val="11"/>
          <w:color w:val="auto"/>
        </w:rPr>
      </w:pPr>
      <w:r>
        <w:rPr>
          <w:rFonts w:ascii="Arial" w:cs="Arial" w:eastAsia="Arial" w:hAnsi="Arial"/>
          <w:sz w:val="14"/>
          <w:szCs w:val="14"/>
          <w:color w:val="auto"/>
        </w:rPr>
        <w:t>addressing concerns related to sharing, safety, security and other privacy factors; and</w:t>
      </w:r>
    </w:p>
    <w:p>
      <w:pPr>
        <w:spacing w:after="0" w:line="9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29"/>
        </w:numPr>
        <w:rPr>
          <w:rFonts w:ascii="Arial" w:cs="Arial" w:eastAsia="Arial" w:hAnsi="Arial"/>
          <w:sz w:val="11"/>
          <w:szCs w:val="11"/>
          <w:color w:val="auto"/>
        </w:rPr>
      </w:pPr>
      <w:r>
        <w:rPr>
          <w:rFonts w:ascii="Arial" w:cs="Arial" w:eastAsia="Arial" w:hAnsi="Arial"/>
          <w:sz w:val="14"/>
          <w:szCs w:val="14"/>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general, we expect that data security and data protection compliance will receive greater attention and focus from regulators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8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are subject to various cybersecurity, data security and personal information protection laws and regulations in China. See “Regulation — Regulations on Information Security and Privacy Protection.” Moreover, different regulatory bodies in China, including the Ministry of Industry and Information Technology (the “MIIT”), the CAC, the Ministry of Public Security and the State Administration for Market Regulation (the “SAMR”), have enforced cybersecurity, data privacy and protections laws and regulations with various standards and applications. The changes and developments in enforcement of data privacy and protection laws have resulted in challenges in ensuring full compliance and increase our operating cost, as we need to spend time and resources to deal with various inspections for compliance. While we have adopted rigorous and comprehensive policies for the collection, processing, sharing, disclosure authorization and other aspects of data use and privacy and taken necessary measures to comply with applicable data privacy and protection laws and regulations, we cannot guarantee the effectiveness of these policies and measures undertaken by us, or by dealers or other business partners on our platform. Any failure or perceived failure to comply with all applicable data privacy and protection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relevant operations or other legal or administrative penalties, which may in turn damage our reputation, discourage current and potential customers and subject us to fines and damages, which could have a material adverse effect on our business, financial condition and results of operations.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Furthermore, the PRC regulatory and enforcement regime with regard to cybersecurity and data protection is still evolving. PRC regulators have been increasingly focused on regulation in the areas of cybersecurity and data protection. The following are examples of recent PRC regulatory activities in this area.</w:t>
      </w:r>
    </w:p>
    <w:p>
      <w:pPr>
        <w:spacing w:after="0" w:line="79" w:lineRule="exact"/>
        <w:rPr>
          <w:sz w:val="20"/>
          <w:szCs w:val="20"/>
          <w:color w:val="auto"/>
        </w:rPr>
      </w:pPr>
    </w:p>
    <w:p>
      <w:pPr>
        <w:jc w:val="both"/>
        <w:ind w:left="1800" w:right="1398" w:hanging="136"/>
        <w:spacing w:after="0" w:line="245" w:lineRule="auto"/>
        <w:tabs>
          <w:tab w:leader="none" w:pos="1783" w:val="left"/>
        </w:tabs>
        <w:numPr>
          <w:ilvl w:val="0"/>
          <w:numId w:val="30"/>
        </w:numPr>
        <w:rPr>
          <w:rFonts w:ascii="Arial" w:cs="Arial" w:eastAsia="Arial" w:hAnsi="Arial"/>
          <w:sz w:val="11"/>
          <w:szCs w:val="11"/>
          <w:color w:val="auto"/>
        </w:rPr>
      </w:pPr>
      <w:r>
        <w:rPr>
          <w:rFonts w:ascii="Arial" w:cs="Arial" w:eastAsia="Arial" w:hAnsi="Arial"/>
          <w:sz w:val="14"/>
          <w:szCs w:val="14"/>
          <w:color w:val="auto"/>
        </w:rPr>
        <w:t>In recent years, the PRC government has increasingly tightened the regulation of cybersecurity and the data security. The Cybersecurity Law of the PRC (the “Cybersecurity Law”) promulgated by the Standing Committee of the National People’s Congress (the “SCNPC”), came into force</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7" w:name="page58"/>
    <w:bookmarkEnd w:id="5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spacing w:after="0" w:line="251" w:lineRule="auto"/>
        <w:rPr>
          <w:sz w:val="20"/>
          <w:szCs w:val="20"/>
          <w:color w:val="auto"/>
        </w:rPr>
      </w:pPr>
      <w:r>
        <w:rPr>
          <w:rFonts w:ascii="Arial" w:cs="Arial" w:eastAsia="Arial" w:hAnsi="Arial"/>
          <w:sz w:val="14"/>
          <w:szCs w:val="14"/>
          <w:color w:val="auto"/>
        </w:rPr>
        <w:t>on June 1, 2017, and was amended on October 28, 2025. In addition, the Data Security Law of PRC (the “Data Security Law”) was promulgated by the SCNPC on June 10, 2021 and took effect on September 1, 2021.</w:t>
      </w:r>
    </w:p>
    <w:p>
      <w:pPr>
        <w:spacing w:after="0" w:line="76" w:lineRule="exact"/>
        <w:rPr>
          <w:sz w:val="20"/>
          <w:szCs w:val="20"/>
          <w:color w:val="auto"/>
        </w:rPr>
      </w:pPr>
    </w:p>
    <w:p>
      <w:pPr>
        <w:jc w:val="both"/>
        <w:ind w:left="1800" w:right="1398" w:hanging="136"/>
        <w:spacing w:after="0" w:line="253" w:lineRule="auto"/>
        <w:tabs>
          <w:tab w:leader="none" w:pos="1804" w:val="left"/>
        </w:tabs>
        <w:numPr>
          <w:ilvl w:val="0"/>
          <w:numId w:val="31"/>
        </w:numPr>
        <w:rPr>
          <w:rFonts w:ascii="Arial" w:cs="Arial" w:eastAsia="Arial" w:hAnsi="Arial"/>
          <w:sz w:val="10"/>
          <w:szCs w:val="10"/>
          <w:color w:val="auto"/>
        </w:rPr>
      </w:pPr>
      <w:r>
        <w:rPr>
          <w:rFonts w:ascii="Arial" w:cs="Arial" w:eastAsia="Arial" w:hAnsi="Arial"/>
          <w:sz w:val="13"/>
          <w:szCs w:val="13"/>
          <w:color w:val="auto"/>
        </w:rPr>
        <w:t>The Personal Information Protection Law (the “Personal Information Protection Law”) was released on August 20, 2021 and became effective on November 1, 2021. On July 7, 2022, the CAC released the Measures for Security Assessment of Cross-border Transfer of Data, which took effect on September 1, 2022 and are applicable to cross-border transfers of personal information and important data collected and generated in China under certain circumstances. On February 22, 2023, the CAC further released the Measures for the Standard Contract for Cross-border Transfer of Personal Information, which became effective on June 1, 2023. While we do not believe our current business operation involves any transmission, use and exchange of information that comes under the definition of “cross-border transfers of personal information and important data” under the foregoing laws and regulations, as our business continues to grow, there may arise circumstances where we engage in such cross-border transfers of personal information and important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ways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234" w:lineRule="exact"/>
        <w:rPr>
          <w:rFonts w:ascii="Arial" w:cs="Arial" w:eastAsia="Arial" w:hAnsi="Arial"/>
          <w:sz w:val="10"/>
          <w:szCs w:val="10"/>
          <w:color w:val="auto"/>
        </w:rPr>
      </w:pPr>
    </w:p>
    <w:p>
      <w:pPr>
        <w:jc w:val="both"/>
        <w:ind w:left="1800" w:right="1398" w:hanging="136"/>
        <w:spacing w:after="0" w:line="254" w:lineRule="auto"/>
        <w:tabs>
          <w:tab w:leader="none" w:pos="1804" w:val="left"/>
        </w:tabs>
        <w:numPr>
          <w:ilvl w:val="0"/>
          <w:numId w:val="31"/>
        </w:numPr>
        <w:rPr>
          <w:rFonts w:ascii="Arial" w:cs="Arial" w:eastAsia="Arial" w:hAnsi="Arial"/>
          <w:sz w:val="10"/>
          <w:szCs w:val="10"/>
          <w:color w:val="auto"/>
        </w:rPr>
      </w:pPr>
      <w:r>
        <w:rPr>
          <w:rFonts w:ascii="Arial" w:cs="Arial" w:eastAsia="Arial" w:hAnsi="Arial"/>
          <w:sz w:val="13"/>
          <w:szCs w:val="13"/>
          <w:color w:val="auto"/>
        </w:rPr>
        <w:t>On July 30, 2021, the State Council of the PRC promulgated the Provisions on Protection of Critical Information Infrastructure (the “CII Protection Regulations”), which became effective on September 1, 2021. Pursuant to the CII Protection Regulations, “critical information infrastructures,” or “CIIs,” refer to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relevant administration departments of each critical industry and sector shall be responsible for formulating eligibility criteria and identifying the CII operators, or CIIOs, in the respective industry or sector, and the CIIOs shall be responsible for protecting the CIIs’ security by performing certain prescribed obligations. As of the date of this prospectus, we have not been informed by CAC or any other PRC government authorities that we are identified or will be deemed as a CIIO. However, since the criteria for determining CIIOs remains subject to further clarification, we cannot assure you that we will not be identified as a CIIO by any competent regulatory authority in the future.</w:t>
      </w:r>
    </w:p>
    <w:p>
      <w:pPr>
        <w:spacing w:after="0" w:line="223" w:lineRule="exact"/>
        <w:rPr>
          <w:rFonts w:ascii="Arial" w:cs="Arial" w:eastAsia="Arial" w:hAnsi="Arial"/>
          <w:sz w:val="10"/>
          <w:szCs w:val="10"/>
          <w:color w:val="auto"/>
        </w:rPr>
      </w:pPr>
    </w:p>
    <w:p>
      <w:pPr>
        <w:jc w:val="both"/>
        <w:ind w:left="1800" w:right="1398" w:hanging="136"/>
        <w:spacing w:after="0" w:line="235" w:lineRule="auto"/>
        <w:tabs>
          <w:tab w:leader="none" w:pos="1783" w:val="left"/>
        </w:tabs>
        <w:numPr>
          <w:ilvl w:val="0"/>
          <w:numId w:val="31"/>
        </w:numPr>
        <w:rPr>
          <w:rFonts w:ascii="Arial" w:cs="Arial" w:eastAsia="Arial" w:hAnsi="Arial"/>
          <w:sz w:val="11"/>
          <w:szCs w:val="11"/>
          <w:color w:val="auto"/>
        </w:rPr>
      </w:pPr>
      <w:r>
        <w:rPr>
          <w:rFonts w:ascii="Arial" w:cs="Arial" w:eastAsia="Arial" w:hAnsi="Arial"/>
          <w:sz w:val="14"/>
          <w:szCs w:val="14"/>
          <w:color w:val="auto"/>
        </w:rPr>
        <w:t>On December 28, 2021, the CAC and several other administrations jointly promulgated the Measures for Cybersecurity Review (the “Cybersecurity Review Measures”), which became effective on February 15, 2022. The Cybersecurity Review Measures provide that (i) a “network platform operator” holding over one million users’ personal information shall apply for a cybersecurity review when listing their securities “in a foreign country,” (ii) a CIIO that intends to purchase internet products and services that affect or may affect national security shall apply for a cybersecurity review and (iii) a “network platform operator” carrying out data processing activities that affect or may affect national security shall apply for a cybersecurity review.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12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8" w:name="page59"/>
    <w:bookmarkEnd w:id="5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8" w:lineRule="auto"/>
        <w:tabs>
          <w:tab w:leader="none" w:pos="1783" w:val="left"/>
        </w:tabs>
        <w:numPr>
          <w:ilvl w:val="0"/>
          <w:numId w:val="32"/>
        </w:numPr>
        <w:rPr>
          <w:rFonts w:ascii="Arial" w:cs="Arial" w:eastAsia="Arial" w:hAnsi="Arial"/>
          <w:sz w:val="10"/>
          <w:szCs w:val="10"/>
          <w:color w:val="auto"/>
        </w:rPr>
      </w:pPr>
      <w:r>
        <w:rPr>
          <w:rFonts w:ascii="Arial" w:cs="Arial" w:eastAsia="Arial" w:hAnsi="Arial"/>
          <w:sz w:val="13"/>
          <w:szCs w:val="13"/>
          <w:color w:val="auto"/>
        </w:rPr>
        <w:t>In addition, the Regulations on the Security Management of Network Data (the “Network Data Regulations”) were promulgated by the State Council on September 24, 2024, and became effective as of January 1, 2025. The Network Data Regulations stipulate detailed implementing rules and guidelines applicable to the protection of personal information, the security of important data, the security management of data exports, the obligations of network platform operators, and the supervision, management and legal responsibilities related to the foregoing. Any failure to comply with such requirements may subject us to, among others, suspension of services, fines, revoking relevant business permits or business licenses and penalties.</w:t>
      </w:r>
    </w:p>
    <w:p>
      <w:pPr>
        <w:spacing w:after="0" w:line="7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For a more detailed discussion of the applicability of the Cybersecurity Review Measures and the Network Data Regulations and how we will comply with these regulations, see “Regulation — Regulations on Information Security and Privacy Protection.”</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services. If so, in addition to the possibility of fines, lawsuits, complaints, inquiries, allegations,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end users from consenting to certain uses of their personal information.</w:t>
      </w:r>
    </w:p>
    <w:p>
      <w:pPr>
        <w:spacing w:after="0" w:line="7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complaints, inquiries or allegations when they arise,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 In addition, due to data privacy or data security concerns, our ability to retain or increase our user base and user engagement may be materially and adversely affected, we may not be able to maintain or grow our revenue as anticipated and our financial results could be materially and adversely affected.</w:t>
      </w:r>
    </w:p>
    <w:p>
      <w:pPr>
        <w:spacing w:after="0" w:line="9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With regard to our commercial arrangements, we and our counterparties, including business partners and external service providers, might be subject to contractual obligations regarding the processing of personal information.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59" w:name="page60"/>
    <w:bookmarkEnd w:id="5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While we strive to comply with our internal data privacy guidelines as well as all applicable data privacy and security laws and regulations and contractual obligations in respect of personal information, there is no assurance that we are able to comply with these laws, regulations and contractual obligations in all respects. Any failure or perceived failure by us, external service providers or business partners to comply may result in proceedings or actions against us, including fines and penalties or enforcement orders (including orders to cease processing activities) being levied on us by government agencies or proceedings or actions against us by our business partners, customers or end users, including class action privacy litigation in certain jurisdictions (if applicable), and could damage our reputation and discourage current and future users from using our services, which could materially and adversely affect our business, financial condition and results of operations. We from time to time conduct internal review on our compliance with internal guidelines and applicable laws and regulations concerning data privacy and security. These internal reviews have revealed several issues and vulnerabilities, such as our failure to process sensitive information in strict compliance with applicable data privacy laws and regulations, among other things. As of the date of this prospectus, we have implemented or are in the process of implementing measures to address the aforesaid deficiencies. However, there is no guarantee that these measures will be effective or that deficiencies in our past data privacy and security practices will not subject us to legal and regulatory liabilities, in which case our business, financial condition and results of operations may be materially and adversely affected.</w:t>
      </w:r>
    </w:p>
    <w:p>
      <w:pPr>
        <w:spacing w:after="0" w:line="8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addition, compliance with applicable laws on data privacy requires substantial expenditure and resources, including to continually evaluate our policies and processes and adapt to new requirements that are or become applicable to us on a jurisdiction-by-jurisdiction basis, which would impose significant burdens and costs on our operations or may require us to alter our business practices. Concerns about the security of personal information also could lead to a decline in general internet usage, which could result in a decrease in demand for our services and have a material and adverse effect on our business, financial condition and results of operations.</w:t>
      </w:r>
    </w:p>
    <w:p>
      <w:pPr>
        <w:spacing w:after="0" w:line="140"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We collect, process, store, transfer, share, disclose, and use information and data from our customers, and our actual or perceived failure to protect such information and data or respect our customers’ privacy could damage our reputation and brand and harm our business and operating results.</w:t>
      </w:r>
    </w:p>
    <w:p>
      <w:pPr>
        <w:spacing w:after="0" w:line="62"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Some functions of our services involve the storage and transmission of consumers’ information, such as contact information of consumers who connect with dealers, profile information of users who create accounts on our platforms, as well as dealers’ and vehicles’ information. Some of this information may be private, and security breaches could expose us to a risk of loss or exposure of this information, which could result in potential liability, litigation and remediation costs. We may also be liable for improper collection, use or appropriation of personal information provided by our users. For example, hackers could steal our users’ profile passwords, names, email addresses, phone numbers and other personal information. We rely on encryption and authentication technology developed by ourselves or licensed from third parties (as applicable) to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partners, vendors, and employees may lose trust and confidence in us, and dealers may decrease the use of our digitalization solutions, or stop or downgrade their subscriptions with us.</w:t>
      </w:r>
    </w:p>
    <w:p>
      <w:pPr>
        <w:spacing w:after="0" w:line="26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0" w:name="page61"/>
    <w:bookmarkEnd w:id="6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Further, outside parties have attempted and will likely continue to attempt to fraudulently induce our customers, dealers, employees, consumers or third-party service providers to disclose sensitive information in order to gain access to our information or the information of customers, consumers, dealers, employees and third-party service providers.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are often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8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Any or all of the issues above could adversely affect our brand reputation, negatively impact our ability to attract new customers and increase engagement by existing customers, cause existing customers to reduce or stop the use of our services or close their accounts, cause existing customers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financial condition and results of operations.</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Our systems and software may be subject to security breaches, interruptions, failures and/or other errors. Real or perceived errors or failures in our software and system could negatively impact our results of operations and growth prospects.</w:t>
      </w:r>
    </w:p>
    <w:p>
      <w:pPr>
        <w:spacing w:after="0" w:line="122" w:lineRule="exact"/>
        <w:rPr>
          <w:sz w:val="20"/>
          <w:szCs w:val="20"/>
          <w:color w:val="auto"/>
        </w:rPr>
      </w:pPr>
    </w:p>
    <w:p>
      <w:pPr>
        <w:ind w:left="1420"/>
        <w:spacing w:after="0"/>
        <w:rPr>
          <w:sz w:val="20"/>
          <w:szCs w:val="20"/>
          <w:color w:val="auto"/>
        </w:rPr>
      </w:pPr>
      <w:r>
        <w:rPr>
          <w:rFonts w:ascii="Arial" w:cs="Arial" w:eastAsia="Arial" w:hAnsi="Arial"/>
          <w:sz w:val="14"/>
          <w:szCs w:val="14"/>
          <w:i w:val="1"/>
          <w:iCs w:val="1"/>
          <w:color w:val="auto"/>
        </w:rPr>
        <w:t>Our system and software may be subject to security breaches.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Our success depends on the confidence of dealers, OEMs and our other network users/participants and data providers in our ability to store, process and transmit confidential information securely over the internet or otherwise and operate our computer systems and operations without significant disruption or failure. We transmit substantial amounts of confidential information, including nonpublic personal information of consumers, over the internet. Moreover, even if our security measures are adequate, concerns over the security of third-party data that we store, process and transmit, which may be heightened by any well-publicized compromise of security, may deter customers from using our services and/or deter vendors from providing their products to us. If our security measures are breached and unauthorized access to confidential information is obtained, our network may be perceived as not being secure and our customers may curtail or stop using our network or other systems and/or vendors may curtail or stop providing their products to us. Any failure of, or lack of confidence in, our secure online services could have a material adverse effect on our business, prospects, financial condition and results of operations.</w:t>
      </w:r>
    </w:p>
    <w:p>
      <w:pPr>
        <w:spacing w:after="0" w:line="7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Large commercial, healthcare and financial entities with sophisticated security operations have been impacted by security breaches through malware and unintended system entry through compromised credentials or by other advanced means. Despite our focus on data security, we may not be able to stop unauthorized attempts to gain access to data that we store, process and transmit or to stop disruptions in the transmission or provision of data and communications among our network participants. Advances in computer capabilities, new discoveries in the field of cryptography, or other events or developments could result in a compromise or breach of the algorithms used by our services to protect data contained in our, our customers’ and/or our vendors’ databases and the information being stored, processed or transferred.</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Although we generally limit warranties and liabilities relating to data and system security in our customer and vendor contracts, they or third parties may seek to hold us liable for any losses suffered as a result of unauthorized access to their confidential information or nonpublic personal Information of their customers. In addition, we may not have limited our warranties and liabilities sufficiently or have adequate insurance to cover these losses. We may be required to expend significant capital and other resources to protect against security breaches and/or to alleviate the problems caused. Our security measures may not be sufficient to prevent security breaches, and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1" w:name="page62"/>
    <w:bookmarkEnd w:id="6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any failure to prevent security breaches and/or alleviate any problems caused by security breaches could have a material adverse effect on our business, prospects, financial condition and results of operations.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i w:val="1"/>
          <w:iCs w:val="1"/>
          <w:color w:val="auto"/>
        </w:rPr>
        <w:t>Our network and systems may be vulnerable to interruptions or failures.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From time to time, we have experienced, and may experience in the future, network or system slowdowns and interruptions. These network and system slowdowns and interruptions may interfere with our ability to do business. Although we believe we have made and are continuing to make the appropriate upgrades to our system, regularly back up data and take other measures to protect against data loss and system failures, there is still risk that we may lose critical data or experience network failures. Such failures or disruptions may result in lost revenue opportunities for our customers, which could result in litigation against us or a loss of customers. Additionally, we have service level agreements with certain of our customers that may result in penalties or trigger cancellation rights in the event of a network slowdown or interruption. This could have a material adverse effect on our business, prospects, financial condition and results of operations.</w:t>
      </w:r>
    </w:p>
    <w:p>
      <w:pPr>
        <w:spacing w:after="0" w:line="141" w:lineRule="exact"/>
        <w:rPr>
          <w:sz w:val="20"/>
          <w:szCs w:val="20"/>
          <w:color w:val="auto"/>
        </w:rPr>
      </w:pPr>
    </w:p>
    <w:p>
      <w:pPr>
        <w:jc w:val="both"/>
        <w:ind w:left="1420" w:right="1398"/>
        <w:spacing w:after="0" w:line="268" w:lineRule="auto"/>
        <w:rPr>
          <w:sz w:val="20"/>
          <w:szCs w:val="20"/>
          <w:color w:val="auto"/>
        </w:rPr>
      </w:pPr>
      <w:r>
        <w:rPr>
          <w:rFonts w:ascii="Arial" w:cs="Arial" w:eastAsia="Arial" w:hAnsi="Arial"/>
          <w:sz w:val="14"/>
          <w:szCs w:val="14"/>
          <w:i w:val="1"/>
          <w:iCs w:val="1"/>
          <w:color w:val="auto"/>
        </w:rPr>
        <w:t>Real or perceived errors or failures in our software and systems could negatively impact our results of operations and growth prospects.</w:t>
      </w:r>
    </w:p>
    <w:p>
      <w:pPr>
        <w:spacing w:after="0" w:line="6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depend upon the sustained and uninterrupted performance of numerous proprietary and third-party technologies to deliver our services. If one or more of those technologies cannot scale up to meet demand, or if there are errors in our execution of any feature or functionality using any such technologies, then our business may be harmed. Because our software is often complex, undetected errors and failures may occur, especially when new versions or updates are made. Despite our testing, errors or bugs in our services or in third-party programs integrated with our services may not be found until the software or service is in active use by us or our customers. Moreover, our customers could incorrectly implement or inadvertently misuse our services, which could result in customers’ dissatisfaction and adversely impact the perceived utility of our services as well as our brand. Any of these real or perceived errors, failures or bugs could result in negative publicity, reputational harm, loss of or delay in market acceptance of our services, loss of competitive position or claims by customers for losses sustained by them, all of which, along with the costs of responding to such effects, may have a material adverse effect on our business, prospects, financial condition and results of operations.</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4"/>
          <w:szCs w:val="14"/>
          <w:i w:val="1"/>
          <w:iCs w:val="1"/>
          <w:color w:val="auto"/>
        </w:rPr>
        <w:t>Our systems may be harmed by events beyond our control.</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computer systems and operations are vulnerable to damage or interruption from natural disasters, such as fires, floods and hurricanes, or from power outages, telecommunications failures, terrorist attacks, network service outages and disruptions, “denial of service” attacks, computer viruses, break-ins, sabotage and other similar events beyond our control. The occurrence of any such event at our facilities, any third-party facility we utilize or the disaster recovery center we use could cause interruptions to or delays in our business and loss of data, or could render us unable to provide our services. In addition, the failure of a third-party facility to provide the data communications capacity required by us, as a result of human error, bankruptcy, natural disaster or other operational disruption, could cause interruptions to our computer systems and operations. The occurrence of any or all of these events could have a material adverse effect on our business, prospects, financial condition and results of operations.</w:t>
      </w:r>
    </w:p>
    <w:p>
      <w:pPr>
        <w:spacing w:after="0" w:line="139"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We collect information from third-party platforms and purchase data from third-party data providers. If we are unable to maintain or grow such relationships, or experience interruptions in the products or services they provide, our financial condition or results of operations could be adversely affected.</w:t>
      </w:r>
    </w:p>
    <w:p>
      <w:pPr>
        <w:spacing w:after="0" w:line="7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collect information from various third-party platforms to better serve our customers. We also obtain data from certain third-party data providers, including inventory management systems, automotive website providers, customer relationship management systems, dealer management</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2" w:name="page63"/>
    <w:bookmarkEnd w:id="6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systems and third-party data licensors. Our business relies on our ability to obtain information and data for the benefit of our customers. We could experience interruptions in our information or data access for a number of reasons, including difficulties in renewing our agreements or collaborations with information or data providers, changes to the software used by information or data providers, efforts by industry participants to restrict access to information or data, increased fees we may be charged by information or data providers and the continuing effects of macroeconomic conditions. Our business operations and financial condition could be negatively affected if any current provider terminates its relationship with us or our service from any provider is interrupted. If there is a material disruption in the data provided to us, the information that we provide to our customers using our services may be limited. In addition, the quality, accuracy and timeliness of this information may suffer, which may lead to a less valuable and less transparent customer experience for using our services and could negatively affect our business and operating results.</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Activities of our customers or business partners on our platforms could damage our brand, subject us to liability, and harm our business and financial results.</w:t>
      </w:r>
    </w:p>
    <w:p>
      <w:pPr>
        <w:spacing w:after="0" w:line="52"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Our terms of service and acceptable use policy prohibit our customers and business partners from using our services to engage in illegal or otherwise prohibited activities and our terms of service and acceptable use policy permit us to terminate a customer’s or a business partner’s account if we become aware of such use. Customers or business partners may nonetheless engage in prohibited or illegal activities or upload or store content in violation of applicable laws, without our knowledge, which could subject us to liability. Furthermore, our brand may be negatively impacted by the actions of customers or business partners that are deemed to be hostile, offensive, inappropriate or illegal. While we use technology to monitor for the compliance status of customers and business partners against our terms of service and acceptable use policy for a number of our services, we do not proactively and comprehensively monitor or review the appropriateness of the content posted by our customers or business partners in connection with our services and we do not have control over their activities or the activities in which other users on our digital platform may engage. The safeguards we have in place may not be sufficient for us to avoid liability or avoid harm to our brand, especially if such hostile, offensive, inappropriate or illegal use is high profile, which could adversely affect our business and financial results. The laws relating to the liability of online service providers are evolving and subject to challenges including claims related to defamation, libel, breach of contract, invasion of privacy, negligence, and copyright or trademark infringement. Developments in these laws in various jurisdictions could subject us to liability, penalties or restrictions on our business.</w:t>
      </w:r>
    </w:p>
    <w:p>
      <w:pPr>
        <w:spacing w:after="0" w:line="290" w:lineRule="exact"/>
        <w:rPr>
          <w:sz w:val="20"/>
          <w:szCs w:val="20"/>
          <w:color w:val="auto"/>
        </w:rPr>
      </w:pPr>
    </w:p>
    <w:p>
      <w:pPr>
        <w:jc w:val="both"/>
        <w:ind w:left="1420" w:right="1398"/>
        <w:spacing w:after="0" w:line="272" w:lineRule="auto"/>
        <w:rPr>
          <w:sz w:val="20"/>
          <w:szCs w:val="20"/>
          <w:color w:val="auto"/>
        </w:rPr>
      </w:pPr>
      <w:r>
        <w:rPr>
          <w:rFonts w:ascii="Arial" w:cs="Arial" w:eastAsia="Arial" w:hAnsi="Arial"/>
          <w:sz w:val="13"/>
          <w:szCs w:val="13"/>
          <w:b w:val="1"/>
          <w:bCs w:val="1"/>
          <w:i w:val="1"/>
          <w:iCs w:val="1"/>
          <w:color w:val="auto"/>
        </w:rPr>
        <w:t>A significant disruption to service on our websites or mobile applications could damage our reputation and result in a loss of customers, which could harm our business, brands, financial condition and results of operations. Any disruption to or discontinuity in the features and functions of our digital platform may materially and adversely affect our business.</w:t>
      </w:r>
    </w:p>
    <w:p>
      <w:pPr>
        <w:spacing w:after="0" w:line="5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brands, reputation, and ability to attract dealers and OEMs depend on the reliable performance of our technology infrastructure and content delivery. We have experienced, and we may in the future experience, interruptions with our systems. Such interruptions, whether due to system failures, computer viruses, ransomware, physical break-ins, electronic breaches or otherwise, could affect the security or availability of our platforms and marketplaces on our websites and mobile applications, and prevent or inhibit the ability of dealers and OEMs to access our services. For example, disruptions may affect our ability to activate customer accounts and manage our billing activities in a timely manner. Such interruptions may in the future result in third parties accessing our confidential and proprietary information, including our intellectual property. Problems with the reliability or security of our systems could harm our reputation and our ability to protect our confidential and proprietary information, which can result in a loss of customers and additional costs.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3" w:name="page64"/>
    <w:bookmarkEnd w:id="6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Substantially all of the communications, network and computer hardware used to operate our platforms are located in China. A disruption to one or more of these system, networks or infrastructures may cause us to experience an extended period of system unavailability, which could negatively impact our relationship with our customers.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Problems faced by our cloud service providers could adversely affect the experience consumers have while using our solutions. Our third-party cloud service providers may close their facilities without adequate notice. Any financial difficulties, up to and including bankruptcy, faced by our third-party cloud service providers or any of their service providers may have negative effects on our business, the nature and extent of which are difficult to predict. If our third-party cloud service providers are unable to keep up with our capacity needs, our business could be harmed.</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Any errors, defects, disruptions, or other performance or reliability problems with our network operations could cause interruptions in access to our services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which may result from interruptions with our service due to system failures.</w:t>
      </w:r>
    </w:p>
    <w:p>
      <w:pPr>
        <w:spacing w:after="0" w:line="7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rely on the proper functioning of features and functions of our digital platform for the daily operations of our digitalization solutions and transaction services. Although we have implemented comprehensive rules and protocols for use of our digital platform, we cannot assure you that all aspects of our rules and protocols will be always satisfactorily implemented. With the increasing number of customers, including used car dealers and OEMs, using our digital platform who may not be familiar with our rules and protocols, it may be difficult for us to effectively monitor our customers or other parties to ensure that their activities on our digital platform are in accordance with our predetermined rules and protocols. If violations of rules and protocols or other inappropriate actions occur, such as circumventing our digitalization solutions and transaction services to facilitate transactions that are required to be partitioned according to relevant rules and protocols, and if we fail to effectively prevent non-compliance or discipline the responsible customers or other parties, the effectiveness of our digital platform may be diminished and other customers using our digitalization solutions and transaction services may be less willing to follow the rules, which could materially and adversely affect our business, financial condition and results of operations.</w:t>
      </w:r>
    </w:p>
    <w:p>
      <w:pPr>
        <w:spacing w:after="0" w:line="140"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We rely on our proprietary technology, including technology for critical functions of our business. Failure to properly maintain or promptly update our technology may result in disruptions to or lower quality of our services, and our business, financial condition and results of operations may be materially and adversely affected.</w:t>
      </w:r>
    </w:p>
    <w:p>
      <w:pPr>
        <w:spacing w:after="0" w:line="72"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rely on our proprietary technology, including websites and mobile applications, car inspection system and AI algorithms for critical functions of our businesses. See “Business — Our Data Capabilities and Technologies.” Maintaining and upgrading our technology carry certain risks, including the risk of disruptions caused by significant design or deployment errors, delays or deficiencies, which has made and may continue to make our platform and services unavailable. We may also implement additional or enhanced technology in the future to accommodate our growth and to provide additional capabilities and functionalities. The implementation of new or enhanced technologies may be disruptive to our business as it can be time-consuming and expensive and may increase management responsibilities and divert management attention. Additionally, our proprietary AI algorithms are based on data-driven analytics. If we do not have a large amount of data or the quality of data available to us for analysis is unsatisfactory, or if our algorithms have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4" w:name="page65"/>
    <w:bookmarkEnd w:id="6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deficiencies, our proprietary AI algorithms may fail to perform effectively. If we fail to properly maintain or promptly upgrade our technology, our services may be disrupted or become of lower quality or unprofitable, and our business, financial condition and results of operations may be materially and adversely affected.</w:t>
      </w:r>
    </w:p>
    <w:p>
      <w:pPr>
        <w:spacing w:after="0" w:line="13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rely on certain third-party technology to complete critical business functions, and if that technology fails to adequately serve our needs and we cannot find alternatives, it may significantly impact our operating results.</w:t>
      </w:r>
    </w:p>
    <w:p>
      <w:pPr>
        <w:spacing w:after="0" w:line="68"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Our success depends upon our relationships with third parties, including, among others: our payment processor; our cloud service providers; and our partners and contractors for delivery, inspection and certification associated with our business. If these third parties experience difficulty meeting our requirements or standards, have adverse audit results, violate the terms of our agreements or applicable law, or fail to obtain or maintain applicable licenses, or if the relationships we have established with such third parties expire or otherwise terminate, it could be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or increase their fees, or if our relationships with these providers or partners deteriorate or terminate, whether as a result of macroeconomic conditions or otherwise, we could suffer increased costs and we may be unable to provide similar services until we could find an equivalent or develop replacement technology or operations, which could disrupt our business and adversely affect our revenue, business, financial condition and results of operations. Furthermore, if we are unsuccessful in identifying or finding high-quality partners, fail to establish cost-effective relationships with them, or ineffectively manage these relationships, it could have an adverse impact on our business and financial results.</w:t>
      </w:r>
    </w:p>
    <w:p>
      <w:pPr>
        <w:spacing w:after="0" w:line="83"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Our information technology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for and bill new and existing customers on our platform.</w:t>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3"/>
          <w:szCs w:val="13"/>
          <w:b w:val="1"/>
          <w:bCs w:val="1"/>
          <w:i w:val="1"/>
          <w:iCs w:val="1"/>
          <w:color w:val="auto"/>
        </w:rPr>
        <w:t>We face a variety of risks associated with our used car inspection and certification operations.</w:t>
      </w:r>
    </w:p>
    <w:p>
      <w:pPr>
        <w:spacing w:after="0" w:line="10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are subject to a variety of risks associated with our used car inspection and certification operations. If we are unable to operate our used car inspection and certification services efficiently, it may result in delivery delays, delays in listing vehicles on our platform, additional expenses and the loss of potential and existing partners and wholesale sellers and subsequent revenues, which could have a material adverse effect on our business, financial condition and results of operations. Additionally, if our used car inspection results are not accurate or if we fail to thoroughly inspect the vehicles pursuant to the agreed-upon standards and requirements, we may incur additional liabilities ranging from return of inspection fees to ultimate buyback of the vehicle inspected. We have also experienced, and may continue to experience, rising costs in connection with our used car inspection and certification operations. Such rising costs may continue to negatively affect our business, financial condition and results of operations.</w:t>
      </w:r>
    </w:p>
    <w:p>
      <w:pPr>
        <w:spacing w:after="0" w:line="85"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Further, in certain locations, we currently outsource some used car inspection and certification services to third-party providers. If we are unable to maintain our relationship with our third-party service providers, such service providers could cease to provide the services we need. Additionally, if such service providers are unable to effectively deliver services to our standards on time and at the prices we have agreed upon, and we are unable to contract with alternative vendors or replace such service providers with our in-house specialists, we could experience delivery delays, a decrease in the quality of our reconditioning services, delays in listing vehicles consigned to us for sale and</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5" w:name="page66"/>
    <w:bookmarkEnd w:id="6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increased time to sale, and additional expenses and loss of potential and existing corporate vehicle sourcing partners and retail sellers and subsequent revenues, which could have a material adverse effect on our business, financial condition and results of operations.</w:t>
      </w:r>
    </w:p>
    <w:p>
      <w:pPr>
        <w:spacing w:after="0" w:line="13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Failure to maintain or enhance customer trust in us could damage our reputation, or reduce or slow down the growth of our customer base, which could harm our business, financial condition and results of operations.</w:t>
      </w:r>
    </w:p>
    <w:p>
      <w:pPr>
        <w:spacing w:after="0" w:line="6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Our reputation as a trusted provider of digitalization solutions and transaction services for dealers and OEMs in China is critical to our success. If we fail to maintain a high level of customer trust in our goods and services, our business, financial condition and results of operations could be materially and adversely affected. We have received in the past, and we may continue to receive in the future, communications or complaints alleging that our services are not functioning, cars listed on our platform are defective or inconsistent with the information provided on our platform, or the services provided by our third-party service providers are unsatisfactory to our customers. Such complaints may adversely affect our reputation and brand among our customers, which may further affect our business, financial condition and results of operations.</w:t>
      </w:r>
    </w:p>
    <w:p>
      <w:pPr>
        <w:spacing w:after="0" w:line="13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b w:val="1"/>
          <w:bCs w:val="1"/>
          <w:i w:val="1"/>
          <w:iCs w:val="1"/>
          <w:color w:val="auto"/>
        </w:rPr>
        <w:t>We work with third-party service providers and business partners. If third-party service providers and business partners we rely on discontinue their cooperation with us, our business can be materially and adversely affected. In addition, actions of third parties are outside of our control and such actions or our failure to effectively ensure the quality of services provided by third-party service providers could materially and adversely affect our reputation, business, financial condition and results of operations.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rely on third-party service providers and business partners to support the services offered through our platform and to facilitate related transaction processes, including auto financing, logistics, title transfers and other after-sales services. In particular, we engage third-party carriers to transport vehicles between our customers, our facilities and end purchasers, primarily at the request of dealers. This exposes us to risks associated with vehicle transportation, including adverse weather conditions, traffic disruptions, changes in local and national regulations, vehicle accidents, fuel price fluctuations and the varying reliability and service quality of independent carriers. Any failure by third-party carriers to perform in accordance with our service standards could adversely affect customer experience and our reputation, and could materially and adversely affect our business and results of operations.</w:t>
      </w:r>
    </w:p>
    <w:p>
      <w:pPr>
        <w:spacing w:after="0" w:line="7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also depend on a limited number of major customers and business partners for a significant portion of our revenues. If any significant customer or business partner terminates its relationship with us, materially reduces its use of our services or seeks less favorable commercial terms, our business, financial condition and results of operations could be materially and adversely affected.</w:t>
      </w:r>
    </w:p>
    <w:p>
      <w:pPr>
        <w:spacing w:after="0" w:line="7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carefully select our third-party service providers and business partners, but we are not able to control their actions. If these third parties fail to perform as we expect, experience difficulty meeting our requirements or standards, fail to conduct their business ethically, fail to provide satisfactory services to our customers, receive negative press coverage, violate applicable laws or regulations, or breach the agreements with us, or if the agreements we have entered into with the third parties are terminated or not renewed, our business and reputation could be damaged. In addition, if such third-party service providers cease operations, temporarily or permanently, face financial distress or other business disruptions, or increase their fees, or if our relationships with them deteriorate, we could suffer from increased costs, be involved in legal or administrative proceedings with or against our third-party service providers and experience delays in providing customers with similar services until we find or develop a suitable alternative. In addition, if we are not successful in identifying high-quality partners, establishing cost-effective relationships with them or effectively managing these relationships, our business, financial condition and results of operations would be materially and adversely affected.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6" w:name="page67"/>
    <w:bookmarkEnd w:id="6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provide trainings to our third-party service providers and require them to act in line with our operating and customer servicing standards. However, if these third-party service providers fail to maintain a high level of performance that is consistent with our requirements, or if we fail to effectively ensure the quality of services provided by these third-party providers, the level of customer satisfaction and trust we enjoy may be harmed, and our business, financial condition and results of operations may be adversely affected.</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rely, in part, on our marketing efforts for customer acquisition and achieving a high level of brand recognition. If we fail to conduct our marketing activities effectively and efficiently, our business could be harmed.</w:t>
      </w:r>
    </w:p>
    <w:p>
      <w:pPr>
        <w:spacing w:after="0" w:line="6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will continue to invest financial and other resources in marketing initiatives to grow our customer base. We currently carry out our marketing activities mainly by word-of-mouth referrals among dealers and business development efforts targeted at larger OEMs. We face intense competition from our competitors who may have greater marketing resources than we do. If we fail to conduct our marketing activities effectively and efficiently, or if our traffic acquisition efforts and marketing campaigns are not successful, our growth, business, financial condition and results of operations could be materially and adversely affected.</w:t>
      </w:r>
    </w:p>
    <w:p>
      <w:pPr>
        <w:spacing w:after="0" w:line="14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Negative media coverage related to our business or related parties, regardless of its validity, could adversely affect our business, financial condition and results of operations.</w:t>
      </w:r>
    </w:p>
    <w:p>
      <w:pPr>
        <w:spacing w:after="0" w:line="5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believe that the recognition and reputation of our brands among dealers, OEMs, and customers and the industry in general have significantly contributed to the success of our business. Continuing to maintain, protect and strengthen our brands is critical to our market position. Maintaining and strengthening our brands will likely depend significantly on our ability to provide high-quality services on our platform. If we fail to maintain a strong brand, our business, financial condition and results of operations will be materially and adversely affected.</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Our reputation and brands may be impacted by various factors, some of which are difficult or impossible to predict and control and costly or impossible to remediate. Negative publicity or media coverage of our business, our industry, our affiliates, our related parties, our employees, our third-party service providers and business partners, our directors and management or our shareholders, including, without limitation, alleged failure to comply with applicable laws and regulations, alleged fraudulent car listings, alleged misconduct or fraudulent activities by our employees, other business partners on our platform or companies that are or may be considered to be associated with us, alleged misrepresentation by our sales consultants or third-party service providers, alleged misleading representation of contents available on our platform, alleged unethical business practices, alleged opaque price and transaction process, rumors or negative coverage relating to our business, industry and other industry participants in general, breach of data security, failure to protect user privacy, inappropriate business practices, disclosure of inaccurate operating data, and negative information on blogs and social media websites, regardless of its validity, could damage our reputation. These allegations, even if factually incorrect or based on isolated incidents, may lead to inquiries, regulatory investigations or legal actions against us. Such actions could substantially damage our reputation and cause us to incur significant costs to defend ourselves.</w:t>
      </w:r>
    </w:p>
    <w:p>
      <w:pPr>
        <w:spacing w:after="0" w:line="93"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If we fail to correct or mitigate misinformation or negative information about us, including information spread through social media or traditional media channels, customer trust in us may be undermined, which would have a material adverse effect on our business, financial condition and results of operations.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7" w:name="page68"/>
    <w:bookmarkEnd w:id="6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Market acceptance of our services may be influenced by a limited number of automobile OEMs, and we may not be able to maintain or grow these relationships with these OEMs.</w:t>
      </w:r>
    </w:p>
    <w:p>
      <w:pPr>
        <w:spacing w:after="0" w:line="4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Although the automotive industry is fragmented, a relatively small number of OEMs may have the ability to exert significant influence over the market acceptance of our services, especially for our new car-related services provided to OEMs, due to their influences within the automobile industry and car dealer community, their concentrated purchasing activities, the visibility of their endorsement or recommendation of specific services, and their ability to define technical standards and marketing guidelines, among others. While automotive dealers are generally free to purchase the solutions of their choosing, if an OEM has endorsed or certified a provider of products or services to its associated or franchised dealers and if our services lack such certification or endorsement, the adoption or retention of our services could be materially impaired.</w:t>
      </w:r>
    </w:p>
    <w:p>
      <w:pPr>
        <w:spacing w:after="0" w:line="138"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72"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If we are unable to generate sufficient cash flows, we would require additional capital to pursue our business objectives and respond to business opportunities, challenges, unforeseen circumstances, or other macroeconomic issues as well as to make marketing expenditures to improve our brand awareness, develop new services, further improve our platform and existing services, build and maintain our offline facilities,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equity and credit markets, including due to macroeconomic conditions, may also have an adverse effect on our ability to obtain equity or debt financing. Our inability to obtain adequate financing or financing on terms that are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142"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If we raise additional capital, it may dilute our shareholders’ ownership in us or cause our shareholders to be subordinated to the rights of senior security holders.</w:t>
      </w:r>
    </w:p>
    <w:p>
      <w:pPr>
        <w:spacing w:after="0" w:line="52"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may need to raise additional funds through public or private debt or equity financings in order to meet various objectives, such as:</w:t>
      </w:r>
    </w:p>
    <w:p>
      <w:pPr>
        <w:spacing w:after="0" w:line="51" w:lineRule="exact"/>
        <w:rPr>
          <w:sz w:val="20"/>
          <w:szCs w:val="20"/>
          <w:color w:val="auto"/>
        </w:rPr>
      </w:pPr>
    </w:p>
    <w:p>
      <w:pPr>
        <w:ind w:left="1800" w:hanging="136"/>
        <w:spacing w:after="0"/>
        <w:tabs>
          <w:tab w:leader="none" w:pos="18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acquiring businesses, customers, technologies and services;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taking advantage of growth opportunities, including more rapid expansion;</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making capital improvements to increase our capacity;</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developing new services or funding service development requirements; and</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33"/>
        </w:numPr>
        <w:rPr>
          <w:rFonts w:ascii="Arial" w:cs="Arial" w:eastAsia="Arial" w:hAnsi="Arial"/>
          <w:sz w:val="11"/>
          <w:szCs w:val="11"/>
          <w:color w:val="auto"/>
        </w:rPr>
      </w:pPr>
      <w:r>
        <w:rPr>
          <w:rFonts w:ascii="Arial" w:cs="Arial" w:eastAsia="Arial" w:hAnsi="Arial"/>
          <w:sz w:val="14"/>
          <w:szCs w:val="14"/>
          <w:color w:val="auto"/>
        </w:rPr>
        <w:t>responding to competitive pressures.</w:t>
      </w:r>
    </w:p>
    <w:p>
      <w:pPr>
        <w:spacing w:after="0" w:line="109"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Any additional capital raised through the sale of equity, or convertible debt securities, may dilute our stockholders’ respective ownership percentages in us. Furthermore, any additional debt or equity financing we may need may not be available on terms favorable to us, or at all. If future financing is not available or is not available on acceptable terms, we may not be able to raise additional capital, which could significantly limit our ability to implement our business plan and grow our business.</w:t>
      </w:r>
    </w:p>
    <w:p>
      <w:pPr>
        <w:spacing w:after="0" w:line="9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8" w:name="page69"/>
    <w:bookmarkEnd w:id="6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Our indebtedness could adversely affect our ability to raise additional capital to fund our operations, limit our ability to react to changes in the economy or other industry and prevent us from making payments on the debt.</w:t>
      </w:r>
    </w:p>
    <w:p>
      <w:pPr>
        <w:spacing w:after="0" w:line="58"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We have incurred and may in the future incur additional indebtedness. Our ability to generate sufficient cash flow from operations to make scheduled payments on our debt will depend on a range of economic, competitive, regulatory and business factors, many of which are outside our control. Our business may not generate sufficient cash flow from operations to meet our debt service and other obligations, and currently anticipated cost savings and operating improvements may not be realized on schedule, or at all. If we are unable to meet our expenses and debt service and other obligations, we may need to refinance all or a portion of our indebtedness on or before maturity, reduce or discontinue dividends we may pay in the future, reduce or delay business activities, investments or capital expenditures, sell assets or raise equity. These alternative measures may not be successful and may not permit us to meet our scheduled debt service obligations, or we may not be able to effect these actions on commercially reasonable terms or at all, which could cause us to default on our obligations and impair our liquidity. Our inability to generate sufficient cash flow to satisfy our debt obligations, or to refinance our obligations on commercially reasonable terms, would have a material adverse effect on our business, prospects, financial condition and results of operations.</w:t>
      </w:r>
    </w:p>
    <w:p>
      <w:pPr>
        <w:spacing w:after="0" w:line="23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Our indebtedness could have important consequences, including the following:</w:t>
      </w:r>
    </w:p>
    <w:p>
      <w:pPr>
        <w:spacing w:after="0" w:line="109" w:lineRule="exact"/>
        <w:rPr>
          <w:sz w:val="20"/>
          <w:szCs w:val="20"/>
          <w:color w:val="auto"/>
        </w:rPr>
      </w:pPr>
    </w:p>
    <w:p>
      <w:pPr>
        <w:jc w:val="both"/>
        <w:ind w:left="1800" w:right="1398" w:hanging="136"/>
        <w:spacing w:after="0" w:line="251"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limit our ability to borrow money (if necessary) for our working capital, capital expenditures, debt service requirements, strategic initiatives (including acquisitions) or other purposes;</w:t>
      </w:r>
    </w:p>
    <w:p>
      <w:pPr>
        <w:spacing w:after="0" w:line="65" w:lineRule="exact"/>
        <w:rPr>
          <w:rFonts w:ascii="Arial" w:cs="Arial" w:eastAsia="Arial" w:hAnsi="Arial"/>
          <w:sz w:val="11"/>
          <w:szCs w:val="11"/>
          <w:color w:val="auto"/>
        </w:rPr>
      </w:pPr>
    </w:p>
    <w:p>
      <w:pPr>
        <w:jc w:val="both"/>
        <w:ind w:left="1800" w:right="1398" w:hanging="136"/>
        <w:spacing w:after="0" w:line="239"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make it more difficult for us to satisfy our overall obligations with respect to our indebtedness, and any failure to comply with the obligations of any of our debt instruments, including restrictive covenants and borrowing conditions, could result in an event of default under the agreements governing such indebtedness, which could further result in an event of default under other instruments due to cross-default and cross-acceleration provisions in such instruments;</w:t>
      </w:r>
    </w:p>
    <w:p>
      <w:pPr>
        <w:spacing w:after="0" w:line="86"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a portion of our cash flow from operations will be dedicated to the payment of principal of, and interest on, our indebtedness, including short-term loans, operating lease liabilities and amounts due to related parties and so will not be available for operations, future business opportunities, potential dividends to our stockholders or other purposes;</w:t>
      </w:r>
    </w:p>
    <w:p>
      <w:pPr>
        <w:spacing w:after="0" w:line="79" w:lineRule="exact"/>
        <w:rPr>
          <w:rFonts w:ascii="Arial" w:cs="Arial" w:eastAsia="Arial" w:hAnsi="Arial"/>
          <w:sz w:val="11"/>
          <w:szCs w:val="11"/>
          <w:color w:val="auto"/>
        </w:rPr>
      </w:pPr>
    </w:p>
    <w:p>
      <w:pPr>
        <w:ind w:left="1800" w:hanging="136"/>
        <w:spacing w:after="0"/>
        <w:tabs>
          <w:tab w:leader="none" w:pos="180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limit our flexibility in planning for, or reacting to, changes in our operations or business;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we will be more highly leveraged than some of our competitors, which may place us at a competitive disadvantage;</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make us more vulnerable to downturns in our business or the economy generally;</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restrict us from making strategic acquisitions, introducing new technologies or exploiting business opportunities; and</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4"/>
        </w:numPr>
        <w:rPr>
          <w:rFonts w:ascii="Arial" w:cs="Arial" w:eastAsia="Arial" w:hAnsi="Arial"/>
          <w:sz w:val="11"/>
          <w:szCs w:val="11"/>
          <w:color w:val="auto"/>
        </w:rPr>
      </w:pPr>
      <w:r>
        <w:rPr>
          <w:rFonts w:ascii="Arial" w:cs="Arial" w:eastAsia="Arial" w:hAnsi="Arial"/>
          <w:sz w:val="14"/>
          <w:szCs w:val="14"/>
          <w:color w:val="auto"/>
        </w:rPr>
        <w:t>it may limit, along with the financial and other restrictive covenants in our indebtedness, among other things, our ability to borrow additional funds or dispose of assets.</w:t>
      </w:r>
    </w:p>
    <w:p>
      <w:pPr>
        <w:spacing w:after="0" w:line="116"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could be liable for contract, product liability or other claims, and disputes over such claims may disrupt our business and have a negative impact on our financial results.</w:t>
      </w:r>
    </w:p>
    <w:p>
      <w:pPr>
        <w:spacing w:after="0" w:line="41"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We provide limited warranties to customers using our services. In addition, errors, defects or other performance problems in our services, including with respect to data that we store, process and provide in connection with our services, could result in financial or other damages to our customers or consumers. For instance, we currently have some contract disputes such as, among others, vehicle</w:t>
      </w:r>
    </w:p>
    <w:p>
      <w:pPr>
        <w:spacing w:after="0" w:line="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69" w:name="page70"/>
    <w:bookmarkEnd w:id="6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3"/>
          <w:szCs w:val="13"/>
          <w:color w:val="auto"/>
        </w:rPr>
        <w:t>custody, detection and auction contract disputes, with our customers during our ordinary course of business that result in litigations. There can be no assurance that any limitations of liability set forth in our contracts would be enforceable or would otherwise protect us from liability for damages. We maintain insurance coverage for our used car inspection and certification operations; however, there can be no assurance that this coverage will continue to be available on acceptable terms, in sufficient amounts to cover one or more large claims or at all, or that the insurer will not deny coverage for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financial condition and results of operations. Furthermore, any litigation, regardless of its outcome, could result in substantial cost to us and divert management’s attention from our operations and could have a material adverse effect on our business, financial condition and results of operations. In addition, some of our services are business-critical for our customers, and a failure or inability to meet a customer’s expectations could seriously damage our reputation and negatively impact our ability to retain existing business or attract new business.</w:t>
      </w:r>
    </w:p>
    <w:p>
      <w:pPr>
        <w:spacing w:after="0" w:line="213"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Furthermore, in relation to certain used car auctions facilitated through our platform, we rely on the sellers’ representations and warranties stated in the relevant contracts regarding their ownership of the vehicles and their rights to dispose of them. However, if any of the sellers are found to have unlawfully disposed of vehicles on our platform without proper legal rights, or if our practice of relying primarily on the sellers’ representations and warranties is deemed non-compliant with applicable laws and regulations, we may become involved in disputes and be obligated to provide compensation or be subjected to regulatory sanctions or penalties.</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Our business depends substantially on the continuing efforts of our directors, executive officers and other key persons. If we lose their services, our business operations and growth prospects may be materially and adversely affected.</w:t>
      </w:r>
    </w:p>
    <w:p>
      <w:pPr>
        <w:spacing w:after="0" w:line="5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future success depends substantially on the continuing efforts of our directors, executive officers and key persons. In particular, we rely on the leadership, expertise, experience and vision of our directors and senior management team. If one or more of our directors, executive officers or other key persons are unable or unwilling to continue their services for us, whether due to resignation, accident, health condition, family considerations or any other reason, we might not be able to find their successors in a timely manner or at all. Since the markets in which we operate are characterized by high demand and intense competition for talent, we cannot assure you that we will be able to attract or retain qualified management or other highly skilled employees. Competition for qualified personnel is often intense in the industry we operate. If we are unable to recruit, train and retain qualified managerial or other employees, our brand and our business may be materially and adversely affected.</w:t>
      </w:r>
    </w:p>
    <w:p>
      <w:pPr>
        <w:spacing w:after="0" w:line="6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do not have key man insurance for our directors, executive officers or other key persons. If any of our key persons terminate his or her services or otherwise becomes unable to provide continuous services to us, our business may be severely and adversely affected, our financial condition and results of operations may be materially and adversely affected and we may incur additional expenses to recruit, train and retain qualified personnel. Each of our executive officers and key employees has entered into an employment agreement with a noncompete clause with us. However, these agreements may be breached by the counterparties, and there may not be adequate and timely remedies available to us to compensate our losses arising from the breach. We cannot assure you that we would be able to enforce these noncompete clauses. If any of our executive officers or key persons joins a competitor or forms a competing company, we may lose customers, know-hows and key professionals and staff members.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0" w:name="page71"/>
    <w:bookmarkEnd w:id="7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business is susceptible to misconduct, improper business practices and other fraudulent conduct by or between our employees and third parties.</w:t>
      </w:r>
    </w:p>
    <w:p>
      <w:pPr>
        <w:spacing w:after="0" w:line="4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rely on our employees or other third-party contractors to carry out our operating objectives and are exposed to many types of operational risks, including the risk of misconduct and errors by our employees. Our business depends on our employees to interact with potential customers, conduct car inspection, process a large number of transactions and provide support for other key aspects of our business, all of which involve the use and disclosure of personal information and are susceptible to human errors on the part of our employees.</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could be materially and adversely affected if transactions were redirected, misappropriated or otherwise improperly executed, if personal information was disclosed to unintended recipients or if an operational breakdown or failure occurred when processing transactions, whether as a result of human error, purposeful sabotage or fraudulent manipulation of our operations or systems.</w:t>
      </w:r>
    </w:p>
    <w:p>
      <w:pPr>
        <w:spacing w:after="0" w:line="7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Although we provide periodic and solid trainings to all our employees and protocols to third-party contractors, it is not always possible to identify, deter or prevent their misconduct or errors, and the precautions we take to detect and prevent potential misconducts and human errors may not be completely effective in controlling risks or losses. If any of our employees or third-party contractors takes, converts or misuses funds, documents or data or fails to follow protocols when interacting with customers or among themselves, we could be liable for damages and subject to regulatory actions and penalties. We could also be perceived to have facilitated or participated in the illegal misappropriation of funds, documents or data, or failed to follow applicable protocols, and therefore be subject to civil or criminal liability. Our employees or third-party contractors may also engage in improper business practices and other fraudulent conduct with third parties. As a result of these potentially damaging activities, we could incur significant losses, which could have a material adverse effect on our business, financial condition and results of operations.</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business has been, and may continue to be, adversely affected by public health events and other external disruptions.</w:t>
      </w:r>
    </w:p>
    <w:p>
      <w:pPr>
        <w:spacing w:after="0" w:line="41"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Public health events, natural disasters and other external disruptions beyond our control have in the past materially affected, and may in the future materially affect, our business and results of operations. For example, the COVID-19 pandemic disrupted our operations, required our employees to work remotely and adversely affected car shopping by consumers and the operations of car dealerships. During that period, we offered more favorable credit terms to certain customers and observed an increase in account delinquencies. Any similar disruption in the future may result in restrictions on our ability and the ability of our customers to conduct business, decreased consumer demand for vehicle purchases, deterioration in our customers’ financial condition and ability to pay for our services, and declines in our revenue. If we implement cost-saving measures in response to such disruptions, we may face unintended consequences, including the loss of key employees and increased hiring costs. We cannot predict the nature, timing or severity of any future disruptions, or their ultimate impact on our business, financial condition and results of operations.</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utilize some open-source software, and any failure to comply with the terms of one or more of these open-source licenses could negatively affect our business.</w:t>
      </w:r>
    </w:p>
    <w:p>
      <w:pPr>
        <w:spacing w:after="0" w:line="52"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We use open-source software in our services and expect to use open-source software in the future. The terms of various open-source licenses have not been interpreted by Chinese courts, and there is a risk that such licenses could be construed in a manner that imposes unanticipated conditions or restrictions on our ability to market our platform. Under the terms of certain open-source licenses, if we combine our proprietary software with open-source software in a certain manner, we could be required to release the source code of our proprietary software and to make our proprietary software available under open-source licenses. If portions of our proprietary software are determined to be subject to an open-source license, we could be required to publicly release the affected portions of our source code, or to reengineer all or a portion of our technologies or otherwise be limited in the</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1" w:name="page72"/>
    <w:bookmarkEnd w:id="7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licensing of our technologies, each of which could reduce or eliminate the value of our technologies and services. In addition to risks related to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and operating results.</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cannot assure you that we will not be subject to liability claims or legal or regulatory liability for any inappropriate or illegal content, which could subject us to liabilities and cause damages to our reputation.</w:t>
      </w:r>
    </w:p>
    <w:p>
      <w:pPr>
        <w:spacing w:after="0" w:line="6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information displayed on our websites and various mobile applications may include content generated by our users and other third-party sources, which we do not independently verify. Failure to identify and fully appreciate such risks will negatively affect our reputation, client relationship, operations and prospects.</w:t>
      </w:r>
    </w:p>
    <w:p>
      <w:pPr>
        <w:spacing w:after="0" w:line="7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Although we implement various monitoring procedures to identify and remove inappropriate or illegal content, we cannot assure you that there will be no inappropriate or illegal content included in our websites and mobile applications. We may face civil, administrative or criminal liability or legal or regulatory sanctions, such as requiring us to restrict or discontinue our content or services, if an individual or corporate, governmental or other entity believes that any of the content on our websites and mobile applications violates any laws, regulations or governmental policies or infringes upon its legal rights. Even if such a claim were not successful, defending such a claim may cause us to incur substantial costs. Moreover, any accusation of inappropriate or illegal content in our content offerings could lead to significant negative publicity, which could harm our reputation, business, financial condition and results of operations.</w:t>
      </w:r>
    </w:p>
    <w:p>
      <w:pPr>
        <w:spacing w:after="0" w:line="141"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automobiles in our warehouses and other facilities may be stolen, vandalized or suffer weather-related damages. If any of these happens, our reputation, business and operating results may be adversely affected.</w:t>
      </w:r>
    </w:p>
    <w:p>
      <w:pPr>
        <w:spacing w:after="0" w:line="5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 part of our delivery services, we place automobiles from our customers in parking spaces and warehouses we rent from third parties. We may not be able to properly store these automobiles before they are purchased by consumers or disposed of. The automobiles stored at our parking space and warehouses may be stolen, vandalized or suffer weather-related damages. Furthermore, our customers or ultimate consumers may dispute as to whether we have properly stored and delivered their vehicles. If any of these were to occur, we may suffer losses and our brand image and relationship with customers may be harmed.</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6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are required to obtain various licenses, permits and approvals or complete necessary filings with the competent regulatory authorities in connection with our business operations under the applicable PRC laws and regulations. To obtain and maintain these licenses, permits and approvals or to complete such filings, we must demonstrate satisfactory compliance with the applicable laws and regulations to the competent regulatory authorities.</w:t>
      </w:r>
    </w:p>
    <w:p>
      <w:pPr>
        <w:spacing w:after="0" w:line="84" w:lineRule="exact"/>
        <w:rPr>
          <w:sz w:val="20"/>
          <w:szCs w:val="20"/>
          <w:color w:val="auto"/>
        </w:rPr>
      </w:pPr>
    </w:p>
    <w:p>
      <w:pPr>
        <w:jc w:val="both"/>
        <w:ind w:left="1800" w:right="1398" w:hanging="136"/>
        <w:spacing w:after="0" w:line="259" w:lineRule="auto"/>
        <w:tabs>
          <w:tab w:leader="none" w:pos="1783" w:val="left"/>
        </w:tabs>
        <w:numPr>
          <w:ilvl w:val="0"/>
          <w:numId w:val="35"/>
        </w:numPr>
        <w:rPr>
          <w:rFonts w:ascii="Arial" w:cs="Arial" w:eastAsia="Arial" w:hAnsi="Arial"/>
          <w:sz w:val="10"/>
          <w:szCs w:val="10"/>
          <w:color w:val="auto"/>
        </w:rPr>
      </w:pPr>
      <w:r>
        <w:rPr>
          <w:rFonts w:ascii="Arial" w:cs="Arial" w:eastAsia="Arial" w:hAnsi="Arial"/>
          <w:sz w:val="13"/>
          <w:szCs w:val="13"/>
          <w:color w:val="auto"/>
        </w:rPr>
        <w:t>We operate our online platform through which we offer a diverse range of services, features and functions. We have obtained certain value-added telecommunications service licenses (the “ICP Licenses”) to operate our online platform in accordance with PRC laws and regulations. However, due to uncertainties in the interpretation and implementation of PRC laws and regulations and the enforcement practices of relevant government authorities, we cannot guarantee that we have obtained all the necessary licenses, permits or approvals, or have completed all the necessary filings, for our services, features and functions. For instance, to</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2" w:name="page73"/>
    <w:bookmarkEnd w:id="7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spacing w:after="0" w:line="233" w:lineRule="auto"/>
        <w:rPr>
          <w:sz w:val="20"/>
          <w:szCs w:val="20"/>
          <w:color w:val="auto"/>
        </w:rPr>
      </w:pPr>
      <w:r>
        <w:rPr>
          <w:rFonts w:ascii="Arial" w:cs="Arial" w:eastAsia="Arial" w:hAnsi="Arial"/>
          <w:sz w:val="14"/>
          <w:szCs w:val="14"/>
          <w:color w:val="auto"/>
        </w:rPr>
        <w:t>enhance user experience, we allow users to engage in car transactions and make deposits on our platform. These transaction offerings may constitute “e-commerce services” under the PRC laws and regulations, which would require us to obtain a value-added telecommunications service license for an online data processing and transaction processing business (an “EDI License”). While we currently hold the required EDI Licenses, we have historically operated the aforesaid services without holding the required EDI Licenses, and we cannot assure you that we will not be penalized for such historical non-compliant practices. Any such penalties imposed on us may adversely affect our business, results of operations and financial condition. We also enable instant communication and transaction between users within our mobile applications and allow users to discuss car listing information as well as warehousing and delivery details in real time. These services may constitute “instant communication services,” which we may be required to expand the scope of our ICP License to cover. However, we cannot assure you that we are able to complete the update in a timely manner, or at all. Any failure by us to operate with the required licenses or within the permitted scope of business outlined in the licenses we have may subject us to confiscation of illegal income, fines, penalties and regulatory actions. In severe cases, it may lead to the closure of relevant business operations, which could significantly harm our business, financial condition and results of operations. Meanwhile, certain of our PRC operating entities historically offered services that required ICP Licenses without obtaining such required licenses. As of the date of this prospectus, these operating entities have either discontinued such operations or transferred the relevant businesses to our other operating entities that have obtained the proper licenses. However, we cannot assure you that we will not be penalized for our historical noncompliance, in which case our business, results of operations and financial condition may be adversely affected.</w:t>
      </w:r>
    </w:p>
    <w:p>
      <w:pPr>
        <w:spacing w:after="0" w:line="98" w:lineRule="exact"/>
        <w:rPr>
          <w:sz w:val="20"/>
          <w:szCs w:val="20"/>
          <w:color w:val="auto"/>
        </w:rPr>
      </w:pPr>
    </w:p>
    <w:p>
      <w:pPr>
        <w:jc w:val="both"/>
        <w:ind w:left="1800" w:right="1398" w:hanging="136"/>
        <w:spacing w:after="0" w:line="236" w:lineRule="auto"/>
        <w:tabs>
          <w:tab w:leader="none" w:pos="1804" w:val="left"/>
        </w:tabs>
        <w:numPr>
          <w:ilvl w:val="0"/>
          <w:numId w:val="36"/>
        </w:numPr>
        <w:rPr>
          <w:rFonts w:ascii="Arial" w:cs="Arial" w:eastAsia="Arial" w:hAnsi="Arial"/>
          <w:sz w:val="11"/>
          <w:szCs w:val="11"/>
          <w:color w:val="auto"/>
        </w:rPr>
      </w:pPr>
      <w:r>
        <w:rPr>
          <w:rFonts w:ascii="Arial" w:cs="Arial" w:eastAsia="Arial" w:hAnsi="Arial"/>
          <w:sz w:val="14"/>
          <w:szCs w:val="14"/>
          <w:color w:val="auto"/>
        </w:rPr>
        <w:t>We have historically offered articles and videos relating to the automobile market for which we may be required by the competent regulatory authorities to obtain additional licenses, permits or approvals that we currently do not possess. As of the date of this prospectus, we have discontinued the offerings of the foregoing articles and videos relating to the automobile market on our online platforms and are not aware of any action, claim, or investigation being conducted or threatened by the competent regulatory authorities relating to our failure to obtain necessary licenses, permits or approvals for any of the above-mentioned offerings. However, in the event that our historical practices were considered non-compliant with relevant PRC laws and regulations, we may be subject to fines, suspension of business, confiscation of relevant equipment and other administrative penalties, which may adversely affect our business, financial condition and results of operations.</w:t>
      </w:r>
    </w:p>
    <w:p>
      <w:pPr>
        <w:spacing w:after="0" w:line="84" w:lineRule="exact"/>
        <w:rPr>
          <w:rFonts w:ascii="Arial" w:cs="Arial" w:eastAsia="Arial" w:hAnsi="Arial"/>
          <w:sz w:val="11"/>
          <w:szCs w:val="11"/>
          <w:color w:val="auto"/>
        </w:rPr>
      </w:pPr>
    </w:p>
    <w:p>
      <w:pPr>
        <w:jc w:val="both"/>
        <w:ind w:left="1800" w:right="1398" w:hanging="136"/>
        <w:spacing w:after="0" w:line="234" w:lineRule="auto"/>
        <w:tabs>
          <w:tab w:leader="none" w:pos="1783" w:val="left"/>
        </w:tabs>
        <w:numPr>
          <w:ilvl w:val="0"/>
          <w:numId w:val="36"/>
        </w:numPr>
        <w:rPr>
          <w:rFonts w:ascii="Arial" w:cs="Arial" w:eastAsia="Arial" w:hAnsi="Arial"/>
          <w:sz w:val="11"/>
          <w:szCs w:val="11"/>
          <w:color w:val="auto"/>
        </w:rPr>
      </w:pPr>
      <w:r>
        <w:rPr>
          <w:rFonts w:ascii="Arial" w:cs="Arial" w:eastAsia="Arial" w:hAnsi="Arial"/>
          <w:sz w:val="14"/>
          <w:szCs w:val="14"/>
          <w:color w:val="auto"/>
        </w:rPr>
        <w:t>We have utilized a payment structure for our auction and certain other services where we received payments from buyers for used cars listed on our platform, and then settled with the sellers through our own account. We are able to deduct fees related to used car inspection and certification and other transaction services that we provide to the buyers and/or the sellers directly from the payments made by buyers before we settle payments with the sellers. The People’s Bank of China, or the PBOC, generally prohibits nonfinancial institutions from engaging in payment or settlement services without obtaining the necessary payment business license. Since June 2022, we have engaged a third-party financial institution that possesses the required payment business license to handle payments for our users. We plan to cease our own settlement practices gradually and rely solely on the financial institution for settlement. However, there remains a possibility that our practices could be subject to enforcement actions, in which case our reputation, business and results of operations may be adversely affected. If the PBOC or other regulatory authorities determine that our past or current payment practices do not comply with applicable laws and regulations, we may face regulatory actions, investigations, fines and penalties, which could significantly harm our business, financial condition and results of operations.</w:t>
      </w:r>
    </w:p>
    <w:p>
      <w:pPr>
        <w:spacing w:after="0" w:line="11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3" w:name="page74"/>
    <w:bookmarkEnd w:id="7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38" w:lineRule="auto"/>
        <w:tabs>
          <w:tab w:leader="none" w:pos="1783" w:val="left"/>
        </w:tabs>
        <w:numPr>
          <w:ilvl w:val="0"/>
          <w:numId w:val="37"/>
        </w:numPr>
        <w:rPr>
          <w:rFonts w:ascii="Arial" w:cs="Arial" w:eastAsia="Arial" w:hAnsi="Arial"/>
          <w:sz w:val="11"/>
          <w:szCs w:val="11"/>
          <w:color w:val="auto"/>
        </w:rPr>
      </w:pPr>
      <w:r>
        <w:rPr>
          <w:rFonts w:ascii="Arial" w:cs="Arial" w:eastAsia="Arial" w:hAnsi="Arial"/>
          <w:sz w:val="14"/>
          <w:szCs w:val="14"/>
          <w:color w:val="auto"/>
        </w:rPr>
        <w:t>Historically, certain of our PRC operating entities were engaged in the used car-related business but did not complete necessary filings with the Ministry of Commerce of the PRC, or MOFCOM, at the provincial level as required under current PRC laws and regulations. As of the date of this prospectus, these operating entities either completed the necessary filings or discontinued such operations. However, we cannot assure you that we will not be penalized for our historical noncompliance and any such penalty may adversely affect our business, results of operations and financial condition.</w:t>
      </w:r>
    </w:p>
    <w:p>
      <w:pPr>
        <w:spacing w:after="0" w:line="86" w:lineRule="exact"/>
        <w:rPr>
          <w:rFonts w:ascii="Arial" w:cs="Arial" w:eastAsia="Arial" w:hAnsi="Arial"/>
          <w:sz w:val="11"/>
          <w:szCs w:val="11"/>
          <w:color w:val="auto"/>
        </w:rPr>
      </w:pPr>
    </w:p>
    <w:p>
      <w:pPr>
        <w:jc w:val="both"/>
        <w:ind w:left="1800" w:right="1398" w:hanging="136"/>
        <w:spacing w:after="0" w:line="239" w:lineRule="auto"/>
        <w:tabs>
          <w:tab w:leader="none" w:pos="1804" w:val="left"/>
        </w:tabs>
        <w:numPr>
          <w:ilvl w:val="0"/>
          <w:numId w:val="37"/>
        </w:numPr>
        <w:rPr>
          <w:rFonts w:ascii="Arial" w:cs="Arial" w:eastAsia="Arial" w:hAnsi="Arial"/>
          <w:sz w:val="11"/>
          <w:szCs w:val="11"/>
          <w:color w:val="auto"/>
        </w:rPr>
      </w:pPr>
      <w:r>
        <w:rPr>
          <w:rFonts w:ascii="Arial" w:cs="Arial" w:eastAsia="Arial" w:hAnsi="Arial"/>
          <w:sz w:val="14"/>
          <w:szCs w:val="14"/>
          <w:color w:val="auto"/>
        </w:rPr>
        <w:t>Moreover, we have historically failed to fulfill the required fire protection procedures, specifically the filing of fire control acceptance, for certain of our offline stores. This non-compliance with fire-related regulatory requirements exposes us to the potential risk of penalties and legal consequences, including administrative fines and orders to suspend the operation of affected premises. Besides, a number of our PRC subsidiaries have historically been fined for their failure to meet applicable fire-related regulatory requirements.</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There is uncertainty surrounding the interpretation and implementation of current and future laws and regulations that govern our business activities. If we fail to complete, obtain, maintain, or renew any required licenses, permits or approvals or make necessary filings, we may be subject to various penalties, such as the confiscation of illegal gains, fines, and the discontinuation or restriction of our operations. These penalties may disrupt our business operations and have a material adverse effect on our business, financial condition and results of operations.</w:t>
      </w:r>
    </w:p>
    <w:p>
      <w:pPr>
        <w:spacing w:after="0" w:line="14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Any failure by us or our business counterparties to comply with applicable anti-money laundering laws and regulations could damage our reputation.</w:t>
      </w:r>
    </w:p>
    <w:p>
      <w:pPr>
        <w:spacing w:after="0" w:line="4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and our business counterparties are subject to anti-money laundering obligations under applicable anti-money laundering laws and regulations and are regulated in that respect by the PBOC. If we or any of our business counterparties fail to comply with such laws and regulations, our reputation could suffer and we could become subject to regulatory action, which could have a material adverse effect on our business, financial condition and results of operations. Any negative perception of the industry, such as that arises from any failure of other loan referral service providers, consumer finance marketplaces or e-commerce platform for buying and selling used cars to detect or prevent money laundering activities, even if factually incorrect or based on isolated incidents, could compromise our image or undermine the trust and credibility we have established.</w:t>
      </w:r>
    </w:p>
    <w:p>
      <w:pPr>
        <w:spacing w:after="0" w:line="13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may be subject to intellectual property infringement claims or other allegations by third parties, which may materially and adversely affect our business, results of operations and prospects.</w:t>
      </w:r>
    </w:p>
    <w:p>
      <w:pPr>
        <w:spacing w:after="0" w:line="6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depend to a large extent on our ability to develop and maintain the intellectual property rights relating to our technology and online businesses. We have devoted considerable resources to the development and improvement of our car inspection technology and digitalization capabilities, mobile applications, mobile sites and websites and information technology systems. We cannot be certain that third parties will not claim that our business infringes upon or otherwise violates patents, trademarks, copyrights or other intellectual property rights that they hold. Companies operating online businesses and providing technology-based services are frequently involved in litigation related to allegations of infringement of intellectual property rights. The validity, enforceability and scope of protection of intellectual property rights in China are still evolving. We were subject to several trademark claims in the past and may in the future be subject to intellectual property infringement claims from time to time. As we face increasing competition and as litigation becomes a more common method for resolving commercial disputes in China, we face a higher risk of being the subject of intellectual property infringement claims.</w:t>
      </w:r>
    </w:p>
    <w:p>
      <w:pPr>
        <w:spacing w:after="0" w:line="8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Defending against intellectual property claims is costly and can impose a significant burden on our management attention and resources, and favorable final outcomes may not be obtained in all cases. Such claims, even if they do not result in liability, may harm our reputation. Any resulting</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4" w:name="page75"/>
    <w:bookmarkEnd w:id="7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71" w:lineRule="auto"/>
        <w:rPr>
          <w:sz w:val="20"/>
          <w:szCs w:val="20"/>
          <w:color w:val="auto"/>
        </w:rPr>
      </w:pPr>
      <w:r>
        <w:rPr>
          <w:rFonts w:ascii="Arial" w:cs="Arial" w:eastAsia="Arial" w:hAnsi="Arial"/>
          <w:sz w:val="14"/>
          <w:szCs w:val="14"/>
          <w:color w:val="auto"/>
        </w:rPr>
        <w:t>liability or expenses, or changes required to our services to reduce the risk of future liability, may have a material adverse effect on our business, results of operations and prospects.</w:t>
      </w:r>
    </w:p>
    <w:p>
      <w:pPr>
        <w:spacing w:after="0" w:line="116"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may be unable to adequately protect, and may incur significant costs in defending, our intellectual property and other proprietary rights, which could negatively impact our businesses.</w:t>
      </w:r>
    </w:p>
    <w:p>
      <w:pPr>
        <w:spacing w:after="0" w:line="68"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We believe our patents, trademarks, software copyrights, trade secrets, brand and other intellectual property rights and proprietary information are critical to our success. Any unauthorized use of intellectual property rights and proprietary information could harm our business, reputation and competitive advantages. We rely on a combination of patent, trademark, trade secret and copyright law, our internal control mechanism, and contractual arrangements to protect our intellectual property.</w:t>
      </w:r>
    </w:p>
    <w:p>
      <w:pPr>
        <w:spacing w:after="0" w:line="70"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Legal protection may not always be effective. Infringement of intellectual property rights continues to pose a risk in doing business. Monitoring and preventing unauthorized use is difficult. Furthermore, like many other countries where legal systems are developing, the application of laws governing intellectual property rights in China involves uncertainties and continues to evolve, which could involve risks to us. The practice of intellectual property rights enforcement action by Chinese regulatory authorities is in its early stage of development as in many other countries. In the event that we have to resort to litigation and other legal proceedings to enforce our intellectual property rights, such action, litigation or other legal proceedings could result in substantial costs and diversion of our management’s attention and resources and could disrupt our business. There is no assurance that we will be able to enforce our intellectual property rights effectively or otherwise prevent others from the unauthorized use of our intellectual property.</w:t>
      </w:r>
    </w:p>
    <w:p>
      <w:pPr>
        <w:spacing w:after="0" w:line="74"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We try, to the extent possible, to protect our intellectual property, technology and confidential information by requiring our employees, third-party service providers and consultants to enter into confidentiality and assignment of inventions agreements. Due to potential willful or unintentional conduct of personnel who have access to our confidential and proprietary information, these agreements and control measures may not effectively prevent unauthorized disclosure or use of our confidential information, or unauthorized use of our intellectual property or technology, and may not provide an adequate remedy in the event of such unauthorized disclosure or use. The enforceability of confidentiality agreements may vary from jurisdiction to jurisdiction. Failure to obtain or maintain trade secrets and/or confidential know-how protection could adversely affect our competitive position.</w:t>
      </w:r>
    </w:p>
    <w:p>
      <w:pPr>
        <w:spacing w:after="0" w:line="7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Competitors may adopt service names or trademarks that are similar to ours, thereby harming our ability to build brand identity and possibly leading to user confusion. Our competitors may independently develop substantially equivalent proprietary information and may even apply for patent protection. If successful in obtaining such patent protection, our competitors could limit our use of our trade secrets and confidential know-how, and our financial condition and operating results would be adversely affected.</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Increases in labor costs, including wages, and enforcement of stricture labor laws and regulations in the PRC, could adversely affect our business, financial condition and results of operations.</w:t>
      </w:r>
    </w:p>
    <w:p>
      <w:pPr>
        <w:spacing w:after="0" w:line="6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addition, we have been subject to certain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5" w:name="page76"/>
    <w:bookmarkEnd w:id="7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Pursuant to the PRC Labor Contract Law and its implementation rules, employers are subject to certain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financial condition and results of operations.</w:t>
      </w:r>
    </w:p>
    <w:p>
      <w:pPr>
        <w:spacing w:after="0" w:line="8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the interpretation and implementation of labor-related laws and regulations may further evolve,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regarding those relating to obligations to make social insurance payments and contribute to the housing funds. If we are deemed to have violated relevant labor laws and regulations, we could be required to provide additional compensation to our employees and our business, financial condition and results of operations will be adversely affected.</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Failure to make adequate contributions to various employee benefits plans as required by PRC regulations may subject us to penalties.</w:t>
      </w:r>
    </w:p>
    <w:p>
      <w:pPr>
        <w:spacing w:after="0" w:line="52"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Companies operating in China are required to participate in government-sponsored employee benefit plans, such as social insurance, housing funds, and other welfare-oriented payment obligations, and contribute a percentage of their employees’ salaries, including bonuses and allowances, up to a maximum amount specified by local governments where our employees are based.</w:t>
      </w:r>
    </w:p>
    <w:p>
      <w:pPr>
        <w:spacing w:after="0" w:line="7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October 2010, the Standing Committee of the National People’s Congress promulgated the PRC Social Insurance Law, effective on July 1, 2011 and amended on December 29, 2018. On April 3, 1999, the State Council promulgated the Regulations on the Administration of Housing Accumulation Funds, which was amended on March 24, 2019. On January 22, 1999, the State Council promulgated the Interim Regulations on the Collection and Payment of Social Security Funds, which was amended on March 24, 2019. Companies registered and operating in China are required under the Social Insurance Law, the Interim Regulations on the Collection and Payment of Social Security Funds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the implementation of these plans varies among local governments due to different levels of economic development.</w:t>
      </w:r>
    </w:p>
    <w:p>
      <w:pPr>
        <w:spacing w:after="0" w:line="7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of the date of this prospectus, except for the PRC subsidiaries with no employees, all of our PRC subsidiaries have obtained or applied for such registration. Additionally, certain of our PRC subsidiaries historically have not made full social insurance and housing fund contributions for the relevant employees. Moreover, to efficiently manage the contributions to employee benefit plans for our employees in some cities, we historically engaged third-party agents to make these contributions on our behalf; however, such a practice may be deemed as failure to make full social insurance and housing fund contributions for such employees in accordance with applicable PRC laws and regulations by relevant government authorities. As of the date of this prospectus, we have ceased using third-party agents to make such contributions.</w:t>
      </w:r>
    </w:p>
    <w:p>
      <w:pPr>
        <w:spacing w:after="0" w:line="6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An employer that has not made social insurance contributions at a rate and based on an amount prescribed by the law, or at all, may be ordered to rectify the non-compliance and pay the required contributions within a stipulated deadline and be subject to a late fee of up to 0.05% per day, as the case may be. If the employer still fails to rectify the failure to make social insurance contributions within the stipulated deadline, it may be subject to a fine ranging from one to three times the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6" w:name="page77"/>
    <w:bookmarkEnd w:id="7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amount overdue. If there is a failure to pay the full amount of housing provident fund as required, the housing provident fund management center may require payment of the outstanding amount within a prescribed time frame. If the payment is not made within such time frame, an application may be made to the PRC courts for compulsory enforcement. If we are subject to late fees or fines related to underpaid employee benefits, our financial condition and results of operations may be adversely affected.</w:t>
      </w:r>
    </w:p>
    <w:p>
      <w:pPr>
        <w:spacing w:after="0" w:line="65"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If a relevant employee lodges a complaint before the relevant labor authorities or the relevant authorities conduct an investigation into us, we may be required to complete relevant registrations, pay the amount in arrears in full and pay late payment fees, and if we fail to do so in a timely manner, we may face penalties. Furthermore, relevant regulatory authority may not recognize the social insurance and housing funds contributions that were paid by third parties on our behalf. If this happens, we may be required to make addition payments or repay these contributions. As of the date of this prospectus, we have not received any notice of material penalties from relevant government authorities nor were we aware of any material employee complaints or disputes regarding social insurance or housing fund contributions. However, we cannot guarantee that we will not receive complaints or demands for social insurance or housing fund contributions from our employees, or that the relevant PRC authorities will not require us to make additional contributions. These circumstances could adversely affect our business, financial condition and results of operations.</w:t>
      </w:r>
    </w:p>
    <w:p>
      <w:pPr>
        <w:spacing w:after="0" w:line="13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price of used cars sold on our platform and the fees we charge may fluctuate or decline in the future and any material decrease in such price and fees would harm our business, financial condition and results of operations.</w:t>
      </w:r>
    </w:p>
    <w:p>
      <w:pPr>
        <w:spacing w:after="0" w:line="5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services involve sales of used cars to used car dealers, retail sellers as well as consumers. The ability to locate desirable vehicles at affordable prices are crucial for us to receive revenue from such services. Maintaining and growing our revenues from such services depends on a number of factors, including:</w:t>
      </w:r>
    </w:p>
    <w:p>
      <w:pPr>
        <w:spacing w:after="0" w:line="59" w:lineRule="exact"/>
        <w:rPr>
          <w:sz w:val="20"/>
          <w:szCs w:val="20"/>
          <w:color w:val="auto"/>
        </w:rPr>
      </w:pPr>
    </w:p>
    <w:p>
      <w:pPr>
        <w:ind w:left="1800" w:hanging="136"/>
        <w:spacing w:after="0"/>
        <w:tabs>
          <w:tab w:leader="none" w:pos="180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ability to deliver a satisfactory online used car transaction experience to our customers;</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ability to build and maintain offline facilities;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ability to attract consumers to our platform and offline facilities;</w:t>
      </w:r>
    </w:p>
    <w:p>
      <w:pPr>
        <w:spacing w:after="0" w:line="8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average unit price of used cars sold on our platform, which may decrease if we adjust down the price range of used cars available on our platform or enter into lower-tier city markets, or as a result of declining selling prices of new cars;</w:t>
      </w:r>
    </w:p>
    <w:p>
      <w:pPr>
        <w:spacing w:after="0" w:line="55" w:lineRule="exact"/>
        <w:rPr>
          <w:rFonts w:ascii="Arial" w:cs="Arial" w:eastAsia="Arial" w:hAnsi="Arial"/>
          <w:sz w:val="11"/>
          <w:szCs w:val="11"/>
          <w:color w:val="auto"/>
        </w:rPr>
      </w:pPr>
    </w:p>
    <w:p>
      <w:pPr>
        <w:ind w:left="1800" w:hanging="136"/>
        <w:spacing w:after="0"/>
        <w:tabs>
          <w:tab w:leader="none" w:pos="1800"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customers’ ability to offer high-quality used cars to consumers;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8"/>
        </w:numPr>
        <w:rPr>
          <w:rFonts w:ascii="Arial" w:cs="Arial" w:eastAsia="Arial" w:hAnsi="Arial"/>
          <w:sz w:val="11"/>
          <w:szCs w:val="11"/>
          <w:color w:val="auto"/>
        </w:rPr>
      </w:pPr>
      <w:r>
        <w:rPr>
          <w:rFonts w:ascii="Arial" w:cs="Arial" w:eastAsia="Arial" w:hAnsi="Arial"/>
          <w:sz w:val="14"/>
          <w:szCs w:val="14"/>
          <w:color w:val="auto"/>
        </w:rPr>
        <w:t>our ability to foster relationships with third-party service providers to provide services through our platform at attractive terms and prices to us and our customers; and</w:t>
      </w:r>
    </w:p>
    <w:p>
      <w:pPr>
        <w:spacing w:after="0" w:line="30" w:lineRule="exact"/>
        <w:rPr>
          <w:rFonts w:ascii="Arial" w:cs="Arial" w:eastAsia="Arial" w:hAnsi="Arial"/>
          <w:sz w:val="11"/>
          <w:szCs w:val="11"/>
          <w:color w:val="auto"/>
        </w:rPr>
      </w:pPr>
    </w:p>
    <w:p>
      <w:pPr>
        <w:ind w:left="1800" w:hanging="136"/>
        <w:spacing w:after="0"/>
        <w:tabs>
          <w:tab w:leader="none" w:pos="1800" w:val="left"/>
        </w:tabs>
        <w:numPr>
          <w:ilvl w:val="0"/>
          <w:numId w:val="38"/>
        </w:numPr>
        <w:rPr>
          <w:rFonts w:ascii="Arial" w:cs="Arial" w:eastAsia="Arial" w:hAnsi="Arial"/>
          <w:sz w:val="11"/>
          <w:szCs w:val="11"/>
          <w:color w:val="auto"/>
        </w:rPr>
      </w:pPr>
      <w:r>
        <w:rPr>
          <w:rFonts w:ascii="Arial" w:cs="Arial" w:eastAsia="Arial" w:hAnsi="Arial"/>
          <w:sz w:val="14"/>
          <w:szCs w:val="14"/>
          <w:color w:val="auto"/>
        </w:rPr>
        <w:t>fluctuation in other macroeconomic changes.</w:t>
      </w:r>
    </w:p>
    <w:p>
      <w:pPr>
        <w:spacing w:after="0" w:line="8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Any failure to adequately and promptly address any of these risks and uncertainties would materially and adversely affect our business, financial condition and results of operations.</w:t>
      </w:r>
    </w:p>
    <w:p>
      <w:pPr>
        <w:spacing w:after="0" w:line="116"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Rapidly evolving regulations governing AI technologies, together with risks associated with our development and use of AI applications, may adversely affect our business.</w:t>
      </w:r>
    </w:p>
    <w:p>
      <w:pPr>
        <w:spacing w:after="0" w:line="52"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use, and may increasingly use, artificial intelligence, including generative AI, large language models and other AI-related technologies, in our business operations, platform functions and product offerings. For example, we are developing vertical AI agents for China’s used car industry based on the proprietary industry data accumulated through our operating systems and transaction service capabilities. These AI applications may support used car dealers in procurement, pricing,</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7" w:name="page78"/>
    <w:bookmarkEnd w:id="7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inventory assessment, buyer-seller matching, sales conversion, customer communications and other transaction-related functions, and may also support transaction execution, such as vehicle sourcing, inspection, electronic contracting, delivery coordination and vehicle registration procedures. The regulatory framework governing AI technologies, algorithmic recommendation, data use, automated decision-making and platform governance is rapidly evolving and remains subject to significant uncertainty. If our AI applications or related data practices are found to be non-compliant, inaccurate, misleading or unfair, we may be required to modify, suspend or limit certain AI functions, enhance disclosure or consent mechanisms, incur additional compliance costs, respond to regulatory inquiries, or face claims or penalties.</w:t>
      </w:r>
    </w:p>
    <w:p>
      <w:pPr>
        <w:spacing w:after="0" w:line="8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AI tools and agents may generate inaccurate, incomplete, biased or misleading outputs. For example, AI-assisted tools used to recommend whether a dealer should acquire a vehicle, determine an indicative acquisition price, estimate expected resale price or turnover period, match vehicles with customer leads, generate sales communications or support transaction execution may fail to accurately reflect market conditions, vehicle condition, inventory movement, regional demand, transaction terms, ownership status, repair history or other relevant factors. If dealers, consumers or other transaction participants rely on such outputs, they may make procurement, pricing, sales or transaction decisions that prove to be incorrect or commercially unfavorable, which could result in customer complaints, transaction disputes, reputational harm, regulatory scrutiny, reduced user trust or potential liability for us.</w:t>
      </w:r>
    </w:p>
    <w:p>
      <w:pPr>
        <w:spacing w:after="0" w:line="8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Our AI capabilities depend significantly on the quality, timeliness and lawful use of data. If the data used to train, test or operate our AI agents is incomplete, inaccurate, outdated, biased, improperly processed or otherwise unsuitable, our AI outputs may be unreliable or fail to deliver the expected commercial benefits. In addition, our use of AI may create data security, privacy, confidentiality and intellectual property risks. Our employees, contractors, vendors, service providers or platform participants may use third-party AI tools in ways that result in the inadvertent disclosure of confidential information, proprietary data, dealer information, vehicle information, user information, transaction data or other sensitive materials. AI-generated content may also include or be alleged to include third-party copyrighted materials, confidential information, personal information or content that infringes or violates third-party rights. Any actual or alleged misuse, leakage or unauthorized processing of data, or any failure to obtain sufficient rights to use data, materials or AI-generated outputs, could harm our competitive position, expose us to contractual, regulatory or legal liability, and adversely affect dealer and consumer trust in our platform.</w:t>
      </w:r>
    </w:p>
    <w:p>
      <w:pPr>
        <w:spacing w:after="0" w:line="7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investments in AI may not generate the expected commercial benefits. We may need to devote significant resources to data infrastructure, model access, technology development, talent recruitment, system integration, testing, monitoring, cybersecurity, legal compliance and internal controls. Although we have generated modest sales from pilot AI applications since July 2025, we cannot assure you that our AI agents or related services will achieve broad dealer adoption, meaningful monetization, improved operating efficiency or expected revenue growth. Our AI monetization remains in an early, pilot stage, and we have not yet established a recurring or scalable AI revenue stream. We may also face competitive risks if competitors, technology companies or general-purpose AI platforms develop or integrate AI capabilities more effectively than we do. Any failure to develop, deploy, govern or commercialize AI technologies effectively could materially and adversely affect our business, financial condition and results of operations.</w:t>
      </w:r>
    </w:p>
    <w:p>
      <w:pPr>
        <w:spacing w:after="0" w:line="139"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Certain facts, forecasts and other statistics in this document obtained from publicly available sources may not be reliable.</w:t>
      </w:r>
    </w:p>
    <w:p>
      <w:pPr>
        <w:spacing w:after="0" w:line="3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Certain facts, forecasts and other statistics in this document are derived from various government and official resources. We believe that the sources of the said information are appropriate sources for such information and have taken reasonable care in extracting and reproducing such information. We have no reason to believe that such information is false</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8" w:name="page79"/>
    <w:bookmarkEnd w:id="7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or misleading or that any fact has been omitted that would render such information false or misleading. However, we cannot assure our investors that they are stated or compiled on the same basis or with the same degree of accuracy as similar statistics presented elsewhere. In all cases, our investors should consider carefully how much weight or importance should be attached to or placed on such facts or statistics.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Our business and results of operations may be subject to seasonal fluctuations.</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Seasonal fluctuations have affected, and are likely to continue to affect, our business. We generally generate less revenue during Lunar New Year holidays in the first quarter of each year which is typically a low season for used car transactions. We typically generate more revenue in the fourth quarter of a year due to the multiple sales and promotion events as well as marketing campaigns that typically take place around year-end. In addition, public holidays such as Labor Day and National Day will also have temporary impact on our business. This seasonality has not been immediately apparent historically due to our overall growth. If our growth rates moderate or cease, the impact of these seasonality trends and other influences on our results of operations would become more pronounced. We expect that the seasonal fluctuations will cause our quarterly and annual operating results to fluctuate. If we are unable to offset the effect of seasonality and are not able to generate a steady revenue from our services during the low seasons, our operating results and financial condition will be negatively affected.</w:t>
      </w:r>
    </w:p>
    <w:p>
      <w:pPr>
        <w:spacing w:after="0" w:line="144"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and our directors and officers, may be involved in legal and/or regulatory proceedings that are expensive and time-consuming and, if resolved adversely, that may materially adversely affect us.</w:t>
      </w:r>
    </w:p>
    <w:p>
      <w:pPr>
        <w:spacing w:after="0" w:line="4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and our directors or officers, may be subject to disputes with various counterparties with which we transact from time to time in the ordinary course of our business, such as service providers, customers, competitors and investors, which may lead to legal proceedings. These proceedings, if and when they materialize, could have a material adverse effect on our business, financial condition and results of operations. Claims arising out of actual or alleged violations of law could also be asserted against us by consumers and businesses that utilize our services, by competitors, by governmental entities in civil or criminal investigations and proceedings or by other entities. These claims could be asserted under a variety of laws, including but not limited to consumer finance laws, product liability laws, consumer protection laws, intellectual property laws, unfair competition laws, privacy laws, labor and employment laws, securities laws, real estate laws, tort laws, contract laws, auction laws, property laws and employee benefit laws. We may also be subject to lawsuits due to actions by our third-party financing partners, or third-party providers of various services, including logistics and delivery service, title transfer service, car repair, car inspection equipment, car collateral repossession and certain data services.</w:t>
      </w:r>
    </w:p>
    <w:p>
      <w:pPr>
        <w:spacing w:after="0" w:line="55"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For example, we are subject to ongoing contractual disputes and other proceedings in the PRC. These cases are still ongoing, but we believe the claims are without merit and we will defend ourselves accordingly. We are unable, however, to predict the outcome of these cases, or reasonably estimate a range of possible loss, if any, given the current status of the proceedings. We have recorded accrual for expected loss payments with respect to these cases of RMB1.0 million and RMB0.7 million and RMB2.1 million (US$0.3 million), respectively, as of December 31, 2023, 2024 and 2025.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 See “Business — Legal Proceedings.”</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79" w:name="page80"/>
    <w:bookmarkEnd w:id="7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Acquisitions, strategic alliances and investments could be costly, be difficult to integrate, disrupt our business and adversely affect our results of operations and value of your investment.</w:t>
      </w:r>
    </w:p>
    <w:p>
      <w:pPr>
        <w:spacing w:after="0" w:line="5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we continue to expand our operations, we have and may in the future enter into strategic alliances or acquire substantial assets or equities from a pool of candidates that fit our criteria. We are not certain that we will be able to consummate any such transactions in the future or identify those candidates that would result in the most successful combinations, or that future acquisitions will be able to be consummated at reasonable prices and terms. In addition, increased competition for acquisition candidates could result in fewer acquisition opportunities for us and higher acquisition prices. Strategic investments or acquisitions will involve risks commonly encountered in business relationships, including:</w:t>
      </w:r>
    </w:p>
    <w:p>
      <w:pPr>
        <w:spacing w:after="0" w:line="77" w:lineRule="exact"/>
        <w:rPr>
          <w:sz w:val="20"/>
          <w:szCs w:val="20"/>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lack of suitable acquisition candidates;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intense competition with other auction groups or new industry consolidators for suitable acquisitions;</w:t>
      </w:r>
    </w:p>
    <w:p>
      <w:pPr>
        <w:spacing w:after="0" w:line="41"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deterioration of our financial capabilities;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difficulties in assimilating and integrating the operations, personnel, systems, data, technologies and services of the acquired business;</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nonperformance by, or conflicts of interest with, the parties with whom we enter into investments or alliances;</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inability of the acquired technologies, products or businesses to achieve expected levels of revenue, profitability, productivity or other benefits;</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difficulties in retaining, training, motivating and integrating key personnel;</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diversion of management’s time and resources from our normal daily operations;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difficulties in successfully incorporating licensed or acquired technology and rights into our platform and services;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difficulties in maintaining uniform standards, controls, procedures and policies within the combined organizations;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difficulties in retaining relationships with customers, employees and third-party service providers of the acquired business;</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risks of entering markets in which we have limited or no prior experience;</w:t>
      </w:r>
    </w:p>
    <w:p>
      <w:pPr>
        <w:spacing w:after="0" w:line="10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6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assumption of contractual obligations that contain terms that are not beneficial to us, require us to license or waive intellectual property rights or increase our risk for liability;</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failure to successfully further develop the acquired technology or maintain acquired facilities;</w:t>
      </w:r>
    </w:p>
    <w:p>
      <w:pPr>
        <w:spacing w:after="0" w:line="10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39"/>
        </w:numPr>
        <w:rPr>
          <w:rFonts w:ascii="Arial" w:cs="Arial" w:eastAsia="Arial" w:hAnsi="Arial"/>
          <w:sz w:val="11"/>
          <w:szCs w:val="11"/>
          <w:color w:val="auto"/>
        </w:rPr>
      </w:pPr>
      <w:r>
        <w:rPr>
          <w:rFonts w:ascii="Arial" w:cs="Arial" w:eastAsia="Arial" w:hAnsi="Arial"/>
          <w:sz w:val="14"/>
          <w:szCs w:val="14"/>
          <w:color w:val="auto"/>
        </w:rPr>
        <w:t>liability for activities of the acquired business before the acquisition, including intellectual property infringement claims, violations of laws, commercial disputes, tax liabilities and other known and unknown liabilities;</w:t>
      </w:r>
    </w:p>
    <w:p>
      <w:pPr>
        <w:spacing w:after="0" w:line="55" w:lineRule="exact"/>
        <w:rPr>
          <w:rFonts w:ascii="Arial" w:cs="Arial" w:eastAsia="Arial" w:hAnsi="Arial"/>
          <w:sz w:val="11"/>
          <w:szCs w:val="11"/>
          <w:color w:val="auto"/>
        </w:rPr>
      </w:pPr>
    </w:p>
    <w:p>
      <w:pPr>
        <w:ind w:left="1800" w:hanging="136"/>
        <w:spacing w:after="0"/>
        <w:tabs>
          <w:tab w:leader="none" w:pos="1800" w:val="left"/>
        </w:tabs>
        <w:numPr>
          <w:ilvl w:val="0"/>
          <w:numId w:val="39"/>
        </w:numPr>
        <w:rPr>
          <w:rFonts w:ascii="Arial" w:cs="Arial" w:eastAsia="Arial" w:hAnsi="Arial"/>
          <w:sz w:val="11"/>
          <w:szCs w:val="11"/>
          <w:color w:val="auto"/>
        </w:rPr>
      </w:pPr>
      <w:r>
        <w:rPr>
          <w:rFonts w:ascii="Arial" w:cs="Arial" w:eastAsia="Arial" w:hAnsi="Arial"/>
          <w:sz w:val="14"/>
          <w:szCs w:val="14"/>
          <w:color w:val="auto"/>
        </w:rPr>
        <w:t>potential disruptions to our ongoing businesses; and</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783" w:val="left"/>
        </w:tabs>
        <w:numPr>
          <w:ilvl w:val="0"/>
          <w:numId w:val="39"/>
        </w:numPr>
        <w:rPr>
          <w:rFonts w:ascii="Arial" w:cs="Arial" w:eastAsia="Arial" w:hAnsi="Arial"/>
          <w:sz w:val="11"/>
          <w:szCs w:val="11"/>
          <w:color w:val="auto"/>
        </w:rPr>
      </w:pPr>
      <w:r>
        <w:rPr>
          <w:rFonts w:ascii="Arial" w:cs="Arial" w:eastAsia="Arial" w:hAnsi="Arial"/>
          <w:sz w:val="14"/>
          <w:szCs w:val="14"/>
          <w:color w:val="auto"/>
        </w:rPr>
        <w:t>unexpected costs and unknown risks and liabilities associated with strategic investments or acquisitions.</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0" w:name="page81"/>
    <w:bookmarkEnd w:id="8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may not make any investments or acquisitions, or any future investments or acquisitions may not be successful, may not benefit our business strategy, may not generate sufficient revenues to offset the associated acquisition costs or may not otherwise result in the intended benefits. In addition, we cannot assure you that any future investment in or acquisition of new businesses or technology will lead to the successful development of new or enhanced services and that any new or enhanced technology or services, if developed or offered, will achieve market acceptance or prove to be profitable. Furthermore, we may fail to identify or secure suitable acquisition, investment and other strategic opportunities, or our competitors may capitalize on such opportunities before we do, which could impair our ability to compete with our competitors and adversely affect our growth prospects and results of operations.</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Our insurance may not provide adequate levels of coverage against claims.</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insurance industry in China is still evolving. Insurance companies in China currently offer limited business insurance products and are, to our knowledge, still evolving in the field of business liability insurance. While business disruption insurance is available to a limited extent in China, we have determined that the risks of disruption, cost of such insurance and the difficulties associated with acquiring such insurance on commercially reasonable terms make it impractical for us to have such insurance.</w:t>
      </w:r>
    </w:p>
    <w:p>
      <w:pPr>
        <w:spacing w:after="0" w:line="6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believe that we maintain insurance that is customary for businesses of our size and type. For instance, our delivery and used car inspection and certification services are equipped with third-party insurance. We have also maintained an insurance plan for damage to the vehicles stored at various warehouses.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may harm our business.</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have granted, and may continue to grant, share incentives, which may result in increased share-based compensation expenses.</w:t>
      </w:r>
    </w:p>
    <w:p>
      <w:pPr>
        <w:spacing w:after="0" w:line="52"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2019, Souche Holdings Ltd adopted the Share Option Plan 2019, or the Souche Incentive Plan for the purpose of granting share-based compensation awards to employees, officers, directors and consultants to incentivize their performance and promote the success of our business. In 2022, in connection with the Restructuring, we adopted a new share option plan, to mirror the Souche Incentive Plan, which was subsequently amended and restated in 2023 and further amended in 2024 (such plan as amended and restated, the “2023 Plan”). The maximum number of shares issuable under the 2023 Plan is 95,487,753, which may be further increased or amended from time to time pursuant to the terms of the 2023 Plan. See “Management — Share Option Plans.” As of the date of this prospectus, we have issued options to acquire 94,715,674 ordinary shares of our company under the 2023 Plan. We have also issued certain warrants as incentives for certain key employees of Yunyang. For details, see “Management — Yunyang Warrants.” As the completion of this offering is a condition to the vesting of these options and warrants, such condition will be met upon the date of the completion of this offering. Therefore, we expect to record a significant amount of cumulative share-based compensation expenses for such options and warrants upon the completion of this offering. Please refer to Note 14 to our audited Combined and Consolidated Financial Statements included elsewhere in this prospectus. If such condition were to have been satisfied as of December 31, 2025, we would have recognized share-based compensation expenses of RMB183.4 million (US$26.2 million) for those options and warrants for which service conditions were satisfied as of such date. We also granted options under the 2023 Plan to employees of Souche Holdings Ltd in connection with our Restructuring. Similar to awards granted to our employees, these options also contained service and performance-based vesting conditions.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1" w:name="page82"/>
    <w:bookmarkEnd w:id="8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We accounted for these awards as deemed dividends to Souche Holdings Ltd as these employees do not provide any service to us to fulfill the service conditions. We would have recognized cumulative deemed dividend of RMB67.3 million (US$9.6 million) for awards that had fully or partially satisfied the service conditions, had we completed this offering as of December 31, 2025.</w:t>
      </w:r>
    </w:p>
    <w:p>
      <w:pPr>
        <w:spacing w:after="0" w:line="7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We may also record share-based compensation allocated to us based on equity awards granted to our employees under incentive plans, which may cause our share-based compensation to increase. Any increase in our share-based compensation may have an adverse effect on our results of operations. In addition, issuance of ordinary shares underlying the share-based awards will cause you to experience an immediate and substantial dilution to your shareholding.</w:t>
      </w:r>
    </w:p>
    <w:p>
      <w:pPr>
        <w:spacing w:after="0" w:line="141"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We face certain risks relating to the real properties that we lease.</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lease real properties from third parties primarily for our office use and warehouses in China, and the lease agreements for all of these leased properties have not been registered with the PRC government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to RMB10,000 for those of our lease agreements that have not been registered with the relevant PRC government authorities.</w:t>
      </w:r>
    </w:p>
    <w:p>
      <w:pPr>
        <w:spacing w:after="0" w:line="7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of the date of this prospectus,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addition, 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or if any third party challenges our right to use such properties, we may not be able to enforce our rights to lease such properties under the respective lease agreements against the owners. As of the date of this prospectus,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84"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Also, in the event that the actual use of our leased properties is inconsistent with the use registered on the title certificate, it could lead to challenges from the competent authorities, the relevant property owners or other third parties, in which case we could be forced to vacate the relevant properties and seek alternative properties. Furthermore, we may also be forced to vacate the relevant properties and seek alternative properties if we cannot renew our lease agreements in time. Any of such events may adversely affect our business, financial condition and results of operations.</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2" w:name="page83"/>
    <w:bookmarkEnd w:id="8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Our operations depend on the performance of the internet infrastructure and telecommunications networks in China.</w:t>
      </w:r>
    </w:p>
    <w:p>
      <w:pPr>
        <w:spacing w:after="0" w:line="41"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and regulatory supervision of the MIIT. Moreover, we have entered into contracts with various subsidiaries of a limited number of telecommunications service providers at the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serves a large number of users. With the expansion of our business, we may be required to upgrade our technology and infrastructure 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We are subject to third-party payment processing-related risks.</w:t>
      </w:r>
    </w:p>
    <w:p>
      <w:pPr>
        <w:spacing w:after="0" w:line="9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accept payments through major third-party online payment channels in China, as well as bank transfers and credit cards. We may also be susceptible to fraud, user data leakage and other illegal activities in connection with the various payment methods we offer. In addition, our business depends on the payment and refund systems of the third-party payment service providers to maintain accurate records of payments by customers and collect such payments as well as to handle the corresponding refunds. If the quality, utility, convenience or attractiveness of these payment processing and escrow services declines, or if we have to change the pattern of using these payment services for any reason, the attractiveness of our services could be materially and adversely affected. We are also subject to various rules, regulations and requirements, regulatory or otherwise, governing electronic funds transfers which could change or be reinterpreted to make it difficult for us to comply. If we fail to comply with these rules or requirements, we may be subject to fines and higher transaction fees and become unable to accept the current online payments solutions from our customers, and our business, financial condition and results of operations could be materially and adversely affected. Business involving online payment services is subject to a number of risks that could materially and adversely affect third-party online payment service providers’ ability to provide payment processing and escrow services to us, including:</w:t>
      </w:r>
    </w:p>
    <w:p>
      <w:pPr>
        <w:spacing w:after="0" w:line="72" w:lineRule="exact"/>
        <w:rPr>
          <w:sz w:val="20"/>
          <w:szCs w:val="20"/>
          <w:color w:val="auto"/>
        </w:rPr>
      </w:pPr>
    </w:p>
    <w:p>
      <w:pPr>
        <w:ind w:left="1800" w:hanging="136"/>
        <w:spacing w:after="0"/>
        <w:tabs>
          <w:tab w:leader="none" w:pos="1800" w:val="left"/>
        </w:tabs>
        <w:numPr>
          <w:ilvl w:val="0"/>
          <w:numId w:val="40"/>
        </w:numPr>
        <w:rPr>
          <w:rFonts w:ascii="Arial" w:cs="Arial" w:eastAsia="Arial" w:hAnsi="Arial"/>
          <w:sz w:val="11"/>
          <w:szCs w:val="11"/>
          <w:color w:val="auto"/>
        </w:rPr>
      </w:pPr>
      <w:r>
        <w:rPr>
          <w:rFonts w:ascii="Arial" w:cs="Arial" w:eastAsia="Arial" w:hAnsi="Arial"/>
          <w:sz w:val="14"/>
          <w:szCs w:val="14"/>
          <w:color w:val="auto"/>
        </w:rPr>
        <w:t>dissatisfaction with these online payment services or decreased use of their services;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increasing competition, including from other established Chinese internet companies, payment service providers and companies engaged in other financial technology services;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0"/>
        </w:numPr>
        <w:rPr>
          <w:rFonts w:ascii="Arial" w:cs="Arial" w:eastAsia="Arial" w:hAnsi="Arial"/>
          <w:sz w:val="11"/>
          <w:szCs w:val="11"/>
          <w:color w:val="auto"/>
        </w:rPr>
      </w:pPr>
      <w:r>
        <w:rPr>
          <w:rFonts w:ascii="Arial" w:cs="Arial" w:eastAsia="Arial" w:hAnsi="Arial"/>
          <w:sz w:val="14"/>
          <w:szCs w:val="14"/>
          <w:color w:val="auto"/>
        </w:rPr>
        <w:t>changes to rules or practices applicable to payment systems that link to third-party online payment service providers;</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0"/>
        </w:numPr>
        <w:rPr>
          <w:rFonts w:ascii="Arial" w:cs="Arial" w:eastAsia="Arial" w:hAnsi="Arial"/>
          <w:sz w:val="11"/>
          <w:szCs w:val="11"/>
          <w:color w:val="auto"/>
        </w:rPr>
      </w:pPr>
      <w:r>
        <w:rPr>
          <w:rFonts w:ascii="Arial" w:cs="Arial" w:eastAsia="Arial" w:hAnsi="Arial"/>
          <w:sz w:val="14"/>
          <w:szCs w:val="14"/>
          <w:color w:val="auto"/>
        </w:rPr>
        <w:t>breach of customers’ personal information and concerns over the use and security of information collected from buyers;</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0"/>
        </w:numPr>
        <w:rPr>
          <w:rFonts w:ascii="Arial" w:cs="Arial" w:eastAsia="Arial" w:hAnsi="Arial"/>
          <w:sz w:val="11"/>
          <w:szCs w:val="11"/>
          <w:color w:val="auto"/>
        </w:rPr>
      </w:pPr>
      <w:r>
        <w:rPr>
          <w:rFonts w:ascii="Arial" w:cs="Arial" w:eastAsia="Arial" w:hAnsi="Arial"/>
          <w:sz w:val="14"/>
          <w:szCs w:val="14"/>
          <w:color w:val="auto"/>
        </w:rPr>
        <w:t>service outages, system failures or failures to effectively scale the system to handle large and growing transaction volumes;</w:t>
      </w:r>
    </w:p>
    <w:p>
      <w:pPr>
        <w:spacing w:after="0" w:line="51"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increasing costs to third-party online payment service providers, including fees charged by banks to process transactions through online payment channels, which would also increase our costs of revenues; and</w:t>
      </w:r>
    </w:p>
    <w:p>
      <w:pPr>
        <w:spacing w:after="0" w:line="55" w:lineRule="exact"/>
        <w:rPr>
          <w:rFonts w:ascii="Arial" w:cs="Arial" w:eastAsia="Arial" w:hAnsi="Arial"/>
          <w:sz w:val="11"/>
          <w:szCs w:val="11"/>
          <w:color w:val="auto"/>
        </w:rPr>
      </w:pPr>
    </w:p>
    <w:p>
      <w:pPr>
        <w:ind w:left="1800" w:right="1398" w:hanging="136"/>
        <w:spacing w:after="0" w:line="271" w:lineRule="auto"/>
        <w:tabs>
          <w:tab w:leader="none" w:pos="1783" w:val="left"/>
        </w:tabs>
        <w:numPr>
          <w:ilvl w:val="0"/>
          <w:numId w:val="40"/>
        </w:numPr>
        <w:rPr>
          <w:rFonts w:ascii="Arial" w:cs="Arial" w:eastAsia="Arial" w:hAnsi="Arial"/>
          <w:sz w:val="11"/>
          <w:szCs w:val="11"/>
          <w:color w:val="auto"/>
        </w:rPr>
      </w:pPr>
      <w:r>
        <w:rPr>
          <w:rFonts w:ascii="Arial" w:cs="Arial" w:eastAsia="Arial" w:hAnsi="Arial"/>
          <w:sz w:val="14"/>
          <w:szCs w:val="14"/>
          <w:color w:val="auto"/>
        </w:rPr>
        <w:t>failure to manage funds accurately or loss of funds, whether due to employee fraud, security breaches, technical errors or otherwise.</w:t>
      </w:r>
    </w:p>
    <w:p>
      <w:pPr>
        <w:spacing w:after="0" w:line="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3" w:name="page84"/>
    <w:bookmarkEnd w:id="8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Increasing focus with respect to environment,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62"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PRC government and public advocacy groups have been increasingly focused on environment, social and governance (“ESG”) issues in recent years, making our business more sensitive to ESG issues and changes in governmental policies and laws and regulations associated with environmental protection and other ESG-related matters. Investor advocacy groups, certain institutional investors, investment funds and other influential investors are also increasingly focusing on ESG practices and in recent years have placed increasing importance on the implications and social cost of their investments. Regardless of the industry, increased focus of investors and the PRC government on ESG and similar matters may hinder our access to capital, as investors may decide to reallocate capital or to not commit capital as a result of their assessment of a company’s ESG practices. In addition,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affected.</w:t>
      </w:r>
    </w:p>
    <w:p>
      <w:pPr>
        <w:spacing w:after="0" w:line="13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6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rely on certain key operating metrics, such as active users, among other things,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There are inherent challenges in measuring such key metrics and company data, and measurement of such metrics and data may be susceptible to delays and technical errors.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141"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If we fail to implement and maintain an effective system of internal control over financial reporting, we may be unable to accurately report our results of operations, meet our reporting obligations or prevent fraud, and investor confidence and the market price of our ADSs may be materially and adversely affected.</w:t>
      </w:r>
    </w:p>
    <w:p>
      <w:pPr>
        <w:spacing w:after="0" w:line="51"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Prior to this offering, we were a private company with limited accounting and financial reporting personnel and other resources with which to address our internal controls and procedures. Our management has not completed, nor were they required to complete, an assessment of the effectiveness of our internal control over financial reporting, and our independent registered public accounting firm has not conducted an audit of our internal control over financial reporting. In the course of preparing and auditing our financial statements as of December 31, 2024 and 2025 and for the years ended December 31, 2023, 2024 and 2025, we and our independent registered public accounting firm identified a material weakness in our internal control over financial reporting. As defined in the standards established by the U.S. Public Company Accounting Oversight Board, or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material weakness identified relates to the lack of sufficient accounting and financial reporting personnel with requisite knowledge, skills and experience in application of U.S. GAAP and SEC reporting requirements. To remedy our identified material weakness, we have taken measures and</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4" w:name="page85"/>
    <w:bookmarkEnd w:id="8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plan to continue to take measures to improve our internal control over financial reporting. However, these measures have not been fully implemented and therefore our management concluded the material weakness was not remediated as of December 31, 2025.</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3"/>
          <w:szCs w:val="13"/>
          <w:color w:val="auto"/>
        </w:rPr>
        <w:t>As of December 31, 2025, we had a total of 49 employees in our finance department as well as an internal control team, consisting of three members including a senior director who has prior audit work experience of U.S.-listed companies, that is responsible for overseeing the establishment of the internal control system of our company, the formulation and implementation of the internal control process, and the identification and resolution of key issues and risk management relating to internal control. We have hired a financial manager for our finance department with over 10 years of prior work experience in finance departments of different enterprises, including work experience in a U.S.-listed company. In addition, we have hired three employees dedicated to the preparation of financial statements and SEC reporting, all of whom have prior work experience in audit firms. We plan to recruit additional employees with strong knowledge and experience in U.S. GAAP accounting and SEC reporting who can assist us in the preparation of financial statements and SEC reporting. In 2025, we further refined and upgraded our accounting and financial reporting framework in accordance with U.S. GAAP accounting and SEC reporting requirements. We will also continue to provide our accounting and financial reporting staff with extensive training resources, including organizing regular internal training sessions related to U.S. GAAP and SEC reporting matters. In addition to increasing the depth and experience within our accounting and finance team, we plan to adopt additional measures that will improve our internal control over financial reporting, including designing and implementing improved processes and internal controls. For instance, we have implemented key financial statements and reporting controls which address the preparation and review of our financial statements and footnote disclosures. Our internal control team has consistently evaluated and recommended improvements to internal control processes across various departments, further enhancing our internal control framework. We are planning to conduct an assessment of our internal control gaps by specialized consultants and will adopt the processes and control enhancements arising from this assessment which we expect will be completed by the end of 2026. Additionally, we have implemented various entity level controls and will continue enhancing them, including but not limited to enhancing employee conduct policies and whistleblower reporting policies and identifying qualified personnel who will serve as independent directors on our audit committee, which will be completed by the time of this listing. Furthermore, we also expect to adopt measures to improve internal control over financial reporting, including, among others, creating a U.S. GAAP accounting and reporting policies and procedures manual, which will be maintained, reviewed and updated on a regular basis, to the latest U.S. GAAP accounting standards.</w:t>
      </w:r>
    </w:p>
    <w:p>
      <w:pPr>
        <w:spacing w:after="0" w:line="23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Despite the above-mentioned measures, we cannot assure you that our efforts will be effective or prevent any future material weakness or significant deficiency in our internal control over financial reporting. Moreover, while we currently do not expect that the costs to remediate these material weaknesses will adversely affect our business, we may incur additional expenses in the future that may adversely affect our business.</w:t>
      </w:r>
    </w:p>
    <w:p>
      <w:pPr>
        <w:spacing w:after="0" w:line="63"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implementation of these measures may not fully address the material weakness identified in our internal control over financial reporting, and we may not conclude that it will be fully remedied in the future. Our failure to correct this material weakness or our failure to discover and address any other material weakness could result in inaccuracies in our financial statements and could also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55"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We are a public company in the United States subject to the Sarbanes-Oxley Act of 2002. Section 404 of the Sarbanes-Oxley Act of 2002, or Section 404, will require that we include a report from management on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5" w:name="page86"/>
    <w:bookmarkEnd w:id="8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an adverse opinion on our ICFR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53"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During the course of documenting and testing our internal control procedures, in order to satisfy the requirements of Section 404, we may identify other material weaknesses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98"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Risks Related to Corporate Structure</w:t>
      </w:r>
    </w:p>
    <w:p>
      <w:pPr>
        <w:spacing w:after="0" w:line="121"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b w:val="1"/>
          <w:bCs w:val="1"/>
          <w:i w:val="1"/>
          <w:iCs w:val="1"/>
          <w:color w:val="auto"/>
        </w:rPr>
        <w:t>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5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Foreign investment in the value-added telecommunications services industry in China is subject to regulation. Pursuant to the list of special management measures for the market entry of foreign investment, or the Negative List, published by the National Development and Reform Commission (NDRC) and the Ministry of Commerce on December 27, 2021 and effective on January 1, 2022, with a few exceptions, foreign investors are generally not allowed to own more than 50% of the equity interests in a value-added telecommunications service provider.</w:t>
      </w:r>
    </w:p>
    <w:p>
      <w:pPr>
        <w:spacing w:after="0" w:line="55"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We are a Cayman Islands company and our wholly owned PRC subsidiaries are currently considered foreign-invested enterprises. Accordingly, neither we nor our wholly owned PRC subsidiaries are eligible to provide value-added telecommunications services in China. To ensure strict compliance with the PRC laws and regulations, we conduct such business activities through the VIEs, namely Hangzhou Souche and Beijing Peak. Hangzhou Dasouche Information Technology Service Co., Ltd. and CheYiPai (Beijing) Automotive Technology Service Co., Ltd. have entered into a series of contractual arrangements with the VIEs and their shareholders, which enable us to</w:t>
      </w:r>
    </w:p>
    <w:p>
      <w:pPr>
        <w:spacing w:after="0" w:line="4" w:lineRule="exact"/>
        <w:rPr>
          <w:sz w:val="20"/>
          <w:szCs w:val="20"/>
          <w:color w:val="auto"/>
        </w:rPr>
      </w:pPr>
    </w:p>
    <w:p>
      <w:pPr>
        <w:jc w:val="both"/>
        <w:ind w:left="1420" w:right="1398" w:hanging="5"/>
        <w:spacing w:after="0" w:line="234" w:lineRule="auto"/>
        <w:tabs>
          <w:tab w:leader="none" w:pos="158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conduct business in China through the VIEs, (ii) direct the activities that most significantly affect the economic performance of the VIEs, (iii) receive substantially all of the economic benefits of the VIEs and (iv) have an exclusive option to purchase all or part of the equity interests and assets in the VIEs when and to the extent permitted by PRC law. As a result of these contractual arrangements, we have control over and are the primary beneficiary of the VIEs and hence combine or consolidate their financial results as the VIEs under U.S. GAAP. See “Corporate History and Structure — Contractual Arrangements with the VIEs and Their Shareholders.”</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6" w:name="page87"/>
    <w:bookmarkEnd w:id="8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If the PRC government considers that our contractual arrangements do not comply with its regulatory requirements on foreign investment in the value-added telecommunications services, or if the PRC government otherwise considers that we or the VIEs are in violation of PRC laws or regulations or lack the necessary permits or licenses to operate our business, the relevant PRC regulatory authorities, including the MIIT and SAIC, would have broad discretion in dealing with such violations or failures, including, without limitation:</w:t>
      </w:r>
    </w:p>
    <w:p>
      <w:pPr>
        <w:spacing w:after="0" w:line="86" w:lineRule="exact"/>
        <w:rPr>
          <w:sz w:val="20"/>
          <w:szCs w:val="20"/>
          <w:color w:val="auto"/>
        </w:rPr>
      </w:pPr>
    </w:p>
    <w:p>
      <w:pPr>
        <w:ind w:left="1800" w:hanging="136"/>
        <w:spacing w:after="0"/>
        <w:tabs>
          <w:tab w:leader="none" w:pos="1800" w:val="left"/>
        </w:tabs>
        <w:numPr>
          <w:ilvl w:val="0"/>
          <w:numId w:val="42"/>
        </w:numPr>
        <w:rPr>
          <w:rFonts w:ascii="Arial" w:cs="Arial" w:eastAsia="Arial" w:hAnsi="Arial"/>
          <w:sz w:val="11"/>
          <w:szCs w:val="11"/>
          <w:color w:val="auto"/>
        </w:rPr>
      </w:pPr>
      <w:r>
        <w:rPr>
          <w:rFonts w:ascii="Arial" w:cs="Arial" w:eastAsia="Arial" w:hAnsi="Arial"/>
          <w:sz w:val="14"/>
          <w:szCs w:val="14"/>
          <w:color w:val="auto"/>
        </w:rPr>
        <w:t>revoking the business licenses and/or operating licenses of such entities;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2"/>
        </w:numPr>
        <w:rPr>
          <w:rFonts w:ascii="Arial" w:cs="Arial" w:eastAsia="Arial" w:hAnsi="Arial"/>
          <w:sz w:val="11"/>
          <w:szCs w:val="11"/>
          <w:color w:val="auto"/>
        </w:rPr>
      </w:pPr>
      <w:r>
        <w:rPr>
          <w:rFonts w:ascii="Arial" w:cs="Arial" w:eastAsia="Arial" w:hAnsi="Arial"/>
          <w:sz w:val="14"/>
          <w:szCs w:val="14"/>
          <w:color w:val="auto"/>
        </w:rPr>
        <w:t>discontinuing or placing restrictions or onerous conditions on our operation through any transactions between our PRC subsidiaries and the VIEs;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2"/>
        </w:numPr>
        <w:rPr>
          <w:rFonts w:ascii="Arial" w:cs="Arial" w:eastAsia="Arial" w:hAnsi="Arial"/>
          <w:sz w:val="11"/>
          <w:szCs w:val="11"/>
          <w:color w:val="auto"/>
        </w:rPr>
      </w:pPr>
      <w:r>
        <w:rPr>
          <w:rFonts w:ascii="Arial" w:cs="Arial" w:eastAsia="Arial" w:hAnsi="Arial"/>
          <w:sz w:val="14"/>
          <w:szCs w:val="14"/>
          <w:color w:val="auto"/>
        </w:rPr>
        <w:t>imposing fines, confiscating the income from our PRC subsidiaries or the VIEs, or imposing other requirements with which we or the VIEs may not be able to comply;</w:t>
      </w:r>
    </w:p>
    <w:p>
      <w:pPr>
        <w:spacing w:after="0" w:line="61"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42"/>
        </w:numPr>
        <w:rPr>
          <w:rFonts w:ascii="Arial" w:cs="Arial" w:eastAsia="Arial" w:hAnsi="Arial"/>
          <w:sz w:val="11"/>
          <w:szCs w:val="11"/>
          <w:color w:val="auto"/>
        </w:rPr>
      </w:pPr>
      <w:r>
        <w:rPr>
          <w:rFonts w:ascii="Arial" w:cs="Arial" w:eastAsia="Arial" w:hAnsi="Arial"/>
          <w:sz w:val="14"/>
          <w:szCs w:val="14"/>
          <w:color w:val="auto"/>
        </w:rPr>
        <w:t>requiring us to restructure our ownership structure or operations, including terminating the contractual arrangements with the VIEs and deregistering the equity pledges of the VIEs, which in turn would affect our ability to combine, derive economic interests from or exert effective control over the VIEs;</w:t>
      </w:r>
    </w:p>
    <w:p>
      <w:pPr>
        <w:spacing w:after="0" w:line="79"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2"/>
        </w:numPr>
        <w:rPr>
          <w:rFonts w:ascii="Arial" w:cs="Arial" w:eastAsia="Arial" w:hAnsi="Arial"/>
          <w:sz w:val="11"/>
          <w:szCs w:val="11"/>
          <w:color w:val="auto"/>
        </w:rPr>
      </w:pPr>
      <w:r>
        <w:rPr>
          <w:rFonts w:ascii="Arial" w:cs="Arial" w:eastAsia="Arial" w:hAnsi="Arial"/>
          <w:sz w:val="14"/>
          <w:szCs w:val="14"/>
          <w:color w:val="auto"/>
        </w:rPr>
        <w:t>restricting or prohibiting our use of the proceeds of this offering and our right to collect revenues; or</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42"/>
        </w:numPr>
        <w:rPr>
          <w:rFonts w:ascii="Arial" w:cs="Arial" w:eastAsia="Arial" w:hAnsi="Arial"/>
          <w:sz w:val="11"/>
          <w:szCs w:val="11"/>
          <w:color w:val="auto"/>
        </w:rPr>
      </w:pPr>
      <w:r>
        <w:rPr>
          <w:rFonts w:ascii="Arial" w:cs="Arial" w:eastAsia="Arial" w:hAnsi="Arial"/>
          <w:sz w:val="14"/>
          <w:szCs w:val="14"/>
          <w:color w:val="auto"/>
        </w:rPr>
        <w:t>taking other regulatory or enforcement actions that could be harmful to our business.</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Any of these events could cause significant disruption to our business operations and severely damage our reputation, which would in turn materially and adversely affect our business, financial condition and results of operations. If occurrences of any of these events result in our inability to direct the activities of the VIEs in China that most significantly impact its economic performance, and/or our failure to receive the economic benefits from our combined or consolidated variable interest entities, we may not be able to combine and/or consolidate their financial results in our combined and consolidated financial statements in accordance with U.S. GAAP.</w:t>
      </w:r>
    </w:p>
    <w:p>
      <w:pPr>
        <w:spacing w:after="0" w:line="8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believe, to the best of our knowledge, our contractual arrangements do not violate any applicable PRC laws and regulations currently in force in all material aspects. However, the interpretation and application of current and future PRC laws and regulations are still evolving, and thus we cannot preclude the possibility that the PRC regulatory authorities may take a view that is contrary to us. If any of these occurrences results in our inability to direct the activities of the VIEs or our failure to receive the economic benefits from the VIEs and/or our inability to claim our contractual control rights over the assets of the VIEs that conduct substantially all of our operations in China, we may not be able to combine and/or consolidate the entity in our combined and consolidated financial statements in accordance with U.S. GAAP, which could materially and adversely affect our financial condition and results of operations and cause our ADSs to significantly decline in value or become worthless.</w:t>
      </w:r>
    </w:p>
    <w:p>
      <w:pPr>
        <w:spacing w:after="0" w:line="139"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Any failure by the VIEs or their shareholders to perform their obligations under our contractual arrangements with them would have a material adverse effect on our business.</w:t>
      </w:r>
    </w:p>
    <w:p>
      <w:pPr>
        <w:spacing w:after="0" w:line="4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shareholders of the VIEs may breach, or cause the VIEs to breach, or refuse to renew, the existing contractual arrangements. Since PRC laws prohibit or restrict foreign equity ownership in certain kinds of business in China, we have relied and expect to continue to rely on the contractual arrangements with the VIEs and their shareholders to operate our business in China.</w:t>
      </w:r>
    </w:p>
    <w:p>
      <w:pPr>
        <w:spacing w:after="0" w:line="79"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However, these contractual arrangements may not be as effective as equity ownership in providing us with control over our affiliated entities. Any of our affiliated entities, including the VIEs and their shareholders, could breach their contractual arrangements with us by, among other things, failing to conduct their operations in an acceptable manner or taking other actions that are detrimental to our interests. In the event that the shareholders of the VIEs breach the terms of these contractual arrangements and voluntarily liquidate the VIEs, or the VIEs declare bankruptcy and all or</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7" w:name="page88"/>
    <w:bookmarkEnd w:id="8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part of their assets become subject to liens or rights of third-party creditors, or are otherwise disposed of without our consent, we may be unable to conduct some or all of our business operations or otherwise benefit from the assets held by our affiliated entities, which could have a material adverse effect on our business, financial condition and results of operations.</w:t>
      </w:r>
    </w:p>
    <w:p>
      <w:pPr>
        <w:spacing w:after="0" w:line="79"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Most of the nominee shareholders of the VIEs are also beneficial owners of the Company. The enforceability of the contractual agreements between us, the VIEs and their shareholders depends to a large extent upon whether the VIEs and their shareholders will fulfill these contractual agreements. Their interests in enforcing these contractual agreements may not align with our interests or the interests of our shareholders. If their interest diverges from that of our company and other shareholders, it may potentially increase the risk that they could seek to act contrary to these contractual arrangements. 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arbitration in China. Accordingly, these agreements would be interpreted in accordance with PRC law and any disputes would be resolved in accordance with PRC legal procedures. The legal system in the PRC is different from that in some other jurisdictions, such as the United States. As a result, changes and developments in the PRC legal system could limit our ability to enforce these contractual arrangements. Meanwhile, there are few precedents and little formal guidance as to how contractual arrangements in the context of a VIE should be interpreted or enforced under PRC law.</w:t>
      </w:r>
    </w:p>
    <w:p>
      <w:pPr>
        <w:spacing w:after="0" w:line="9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There remain uncertainties regarding the ultimate outcome of such adjudication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affiliated entities, and our ability to conduct our business may be negatively affected.</w:t>
      </w:r>
    </w:p>
    <w:p>
      <w:pPr>
        <w:spacing w:after="0" w:line="141"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Uncertainties exist with respect to the interpretation and implementation of the enacted Foreign Investment Law and how it may impact our business, financial condition and results of operations.</w:t>
      </w:r>
    </w:p>
    <w:p>
      <w:pPr>
        <w:spacing w:after="0" w:line="58"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March 15, 2019, the National People’s Congress of the PRC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enacted Foreign Investment Law does not mention concepts such as “actual control” and “controlling PRC companies by contracts or trusts” that were included in the previous drafts, nor did it specify regulation on controlling through contractual arrangements, and thus this regulatory topic remains subject to further clarification under the Foreign Investment Law. However, since the Foreign Investment Law is relatively new, uncertainties still exist in relation to its interpretation and implementation. For instance, although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Furthermore, if future laws,</w:t>
      </w:r>
    </w:p>
    <w:p>
      <w:pPr>
        <w:spacing w:after="0" w:line="26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8" w:name="page89"/>
    <w:bookmarkEnd w:id="8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administrative regulations or provisions prescribed by the State Council require further actions to be taken by companies with respect to existing contractual arrangements, such as unwinding our existing contractual arrangements and/or disposal of our related business operations, we may face uncertainties as to whether we can complete such actions in a timely manner, or at all. Failure to take timely and appropriate measures to cope with any of these or similar regulatory compliance requirements could materially and adversely affect our current corporate structure, corporate governance and business operations.</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rely on contractual arrangements with the VIEs and their shareholders for a large portion of our business operations, which may not be as effective as equity ownership in providing operational control.</w:t>
      </w:r>
    </w:p>
    <w:p>
      <w:pPr>
        <w:spacing w:after="0" w:line="5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primarily have relied and expect to continue to rely on contractual arrangements with the VIEs and their respective shareholders to operate our business in China. For details, see “Corporate History and Structure — Contractual Arrangements with the VIEs and Their Shareholders.” These contractual arrangements may not be as effective as equity ownership in providing us with control over the VIEs. For example, the VIEs and their shareholders could breach their contractual arrangements with us by, among other things, failing to conduct their operations in an acceptable manner or taking other actions that are detrimental to our interests. If we had equity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shareholders of their respective obligations under the contracts to exercise control over the VIEs. The shareholders of the VIEs may not act in the best interests of our company or may not perform their obligations under these contracts. Such risks exist throughout the period in which we intend to operate certain portions of our business through the contractual arrangements with the VIEs. If any disputes relating to these contracts remain unresolved, we will have to enforce our rights under these contracts through the operations of PRC law and arbitration, litigation and other legal proceedings and there are uncertainties with respect to the enforceability of such rights. Therefore, our contractual arrangements with the VIEs may not be as effective in ensuring our control over the relevant portion of our business operations as equity ownership would be.</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shareholders of the VIEs may have actual or potential conflicts of interest with us, which may materially and adversely affect our business and financial condition.</w:t>
      </w:r>
    </w:p>
    <w:p>
      <w:pPr>
        <w:spacing w:after="0" w:line="31"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shareholders of the VIEs of DSC may have actual or potential conflicts of interest with us. These shareholders may refuse to renew or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uncertainty as to the outcome of any such legal proceedings.</w:t>
      </w:r>
    </w:p>
    <w:p>
      <w:pPr>
        <w:spacing w:after="0" w:line="132"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Contractual arrangements in relation to the VIEs may be subject to scrutiny by the PRC tax authorities and they may determine that we or the VIEs owe additional taxes, which could negatively affect our financial condition and the value of your investment.</w:t>
      </w:r>
    </w:p>
    <w:p>
      <w:pPr>
        <w:spacing w:after="0" w:line="5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the VIEs in the form</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89" w:name="page90"/>
    <w:bookmarkEnd w:id="8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of a transfer pricing adjustment. A transfer pricing adjustment could, among other things, result in a reduction of expense deductions recorded by the VIEs for PRC tax purposes, which could in turn increase its tax liabilities without reducing our PRC subsidiaries’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40"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may lose the ability to use, or otherwise benefit from, the licenses, approvals and assets held by the VIEs, which could severely disrupt our business, render us unable to conduct some or all of our business operations and constrain our growth.</w:t>
      </w:r>
    </w:p>
    <w:p>
      <w:pPr>
        <w:spacing w:after="0" w:line="6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As part of our contractual arrangements with the VIEs of DSC, the VIEs hold certain assets, licenses and permits that are material to our business operations. The contractual arrangements contain terms that specifically obligate VIEs’ shareholders to ensure the valid existence of the VIEs and restrict the disposal of material assets of the VIEs. However, in the event the VIEs’ shareholders breach the terms of these contractual arrangements and voluntarily liquidate the VIEs, or the VIEs declare bankruptcy and all or part of their assets become subject to liens or rights of third-party creditors, or are otherwise disposed of without our consent, we may be unable to conduct some or all of our business operations or otherwise benefit from the assets held by the VIEs, which could have a material adverse effect on our business, financial condition and results of operations. Furthermore, if any of the VIEs undergoes a voluntary or involuntary liquidation proceeding, its shareholders or unrelated third-party creditors may claim rights to some or all of the assets of such VIE, thereby hindering our ability to operate our business as well as constrain our growth.</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If we exercise the option to acquire equity ownership and assets of VIEs, the ownership and transfer may subject us to certain limitations and substantial costs.</w:t>
      </w:r>
    </w:p>
    <w:p>
      <w:pPr>
        <w:spacing w:after="0" w:line="52"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According to the Regulations for the Administration of Foreign-Invested Telecommunications Enterprises (the “FITE Regulations”), foreign investors are not allowed to hold more than 50% of the equity interests in a company providing value-added telecommunications services. Consequently, we may be ineligible to operate the VIEs’ value-added telecommunication enterprises directly and may be forced to suspend the operations if the contractual arrangements are considered as invalid, which could materially and adversely affect the business, financial condition and results of operations of us and the VIEs.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contractual arrangements, our WFOEs or their designated person(s) have the irrevocable and exclusive right to purchase all or any part of the equity interests in the VIEs from their shareholders at any time and from time to time in the WFOEs’ absolute discretion to the extent permitted by PRC laws. The consideration for the equity interests in the VIEs will be the lower of the total capital contribution to the registered capital of the VIEs multiplied by the percentage of equity interests in the VIEs being purchased and the lowest price allowed under PRC law. In the event that the purchase price is higher than RMB1, the shareholders of each of the VIEs agree that any and all proceeds acquired by such shareholders as a result of the exercise of the exclusive right to purchase under this agreement by the respective WFOE or its designee(s) shall be gifted without compensation to such WFOE or, as requested by such WFOE, to its designee(s) in full.</w:t>
      </w:r>
    </w:p>
    <w:p>
      <w:pPr>
        <w:spacing w:after="0" w:line="8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aforesaid equity transfer may be subject to the approvals from, or filings with, the MIIT, MOFCOM and SAMR and/or their local competent branches. In addition, the equity transfer price may be subject to review and tax adjustment by the relevant tax authorities. The equity transfer price to be received by the VIEs under the contractual arrangements may also be subject to enterprise income tax, and such tax amounts could be substantial. Accordingly, in the event that we exercise the option to acquire equity ownership and/or assets of the VIEs, substantial costs may be incurred, which may adversely and materially affect our and the VIEs’ financial performance.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0" w:name="page91"/>
    <w:bookmarkEnd w:id="9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b w:val="1"/>
          <w:bCs w:val="1"/>
          <w:i w:val="1"/>
          <w:iCs w:val="1"/>
          <w:color w:val="auto"/>
        </w:rPr>
        <w:t>We are a holding company and investors will have ownership in a holding company that does not directly own all of its operation in China. We rely on our WFOEs and other PRC subsidiaries and the VIEs for the operation in the PRC. We also rely on dividends and other payments from our WFOEs and other PRC subsidiaries to pay dividends and other cash distributions to our Shareholders, and any limitation on the ability of our WFOEs and other PRC subsidiaries to pay dividends to us could have a material adverse effect on our ability to pay dividends to our shareholders.</w:t>
      </w:r>
    </w:p>
    <w:p>
      <w:pPr>
        <w:spacing w:after="0" w:line="59"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We are a holding company and the investors will have ownership in a holding company that does not directly own all of its operation in China. We rely on our WFOEs and other PRC subsidiaries and the VIEs for the operation in the PRC. Any benefits accrued to us because of the VIEs are limited to the conditions we met for combination of the VIEs under U.S. GAAP. Such conditions include that</w:t>
      </w:r>
    </w:p>
    <w:p>
      <w:pPr>
        <w:jc w:val="both"/>
        <w:ind w:left="1420" w:right="1398" w:hanging="5"/>
        <w:spacing w:after="0" w:line="251" w:lineRule="auto"/>
        <w:tabs>
          <w:tab w:leader="none" w:pos="1582"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control the VIEs through power to govern the activities which most significantly impact the VIEs’ economic performance, (ii) we are obligated to absorb losses of the VIEs that could potentially be significant to the VIEs and (iii) we are entitled to receive benefits from the VIEs that could potentially be significant to the VIEs. We are deemed as the primary beneficiary of the VIEs, and the VIEs are treated as our combined or consolidated affiliated entities for accounting purposes. We rely principally on dividends and other distributions paid by our subsidiaries in China for our cash needs, including paying dividends and other cash distributions to our shareholders, servicing any debt we and the VIEs may incur and paying our and the VIEs’ operating expenses. If the WFOEs and other PRC subsidiaries incur debt on their own behalf in the future, the instruments governing the debt may restrict their ability to pay dividends or make other distributions to us. In addition, the income of the WFOEs in turn depends on the service fees paid by the VIEs and the PRC tax authorities may require us to adjust our taxable income under the contractual arrangements in a manner that would materially and adversely affect their ability to pay dividends and other distributions to us. Current PRC laws and regulations permit our subsidiaries in China to pay dividends to us only out of their retained earnings, if any, determined in accordance with Chinese accounting standards and regulations and the WFOEs and other PRC subsidiaries shall make up their losses of previous years when conducting outward remittance. Under the applicable requirements of PRC laws and regulations, the WFOEs and other PRC subsidiaries are required to set aside at least 10% of their accumulated after-tax profits based on PRC accounting standards each year to fund certain statutory reserves until the accumulated amount of such reserve reaches 50% of their registered capital. At its discretion, the WFOEs and other PRC subsidiaries may allocate a portion of their after-tax profits based on PRC accounting standards to their discretionary reserve funds, or their staff welfare and bonus funds. These reserve funds and staff welfare and bonus funds are not distributable as cash dividends.</w:t>
      </w:r>
    </w:p>
    <w:p>
      <w:pPr>
        <w:spacing w:after="0" w:line="288"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Risks Related to Doing Business in China</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Changes in China’s economic, political or social conditions or government policies could have a material adverse effect on our business, financial condition and results of operations.</w:t>
      </w:r>
    </w:p>
    <w:p>
      <w:pPr>
        <w:spacing w:after="0" w:line="31"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conduct substantially all of our operations in China and substantially all of our revenue is derived from our operations in China. Accordingly, our results of operations and prospects are, to a significant degree, subject to economic, political and legal developments in China. The PRC government has implemented measures emphasizing market forces for economic reform and the establishment of sound corporate governance in business enterprises. However, the Chinese regulators have substantial authority to varying degrees to regulate the business operations of a China-based company, such as ours, and continue to play a significant role in regulating industry development and have significant influence over China’s economic growth through allocating resources, regulating payment of foreign currency-denominated obligations, setting monetary policies, regulating the inflow and outflow of foreign capital and providing preferential treatment of particular industries or companies.</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global macroeconomic environment faces significant challenges in the near-term future. For example, there is uncertainty about the short- and long-term economic impact of the monetary and fiscal policies adopted by the central banks and government authorities of some of the world’s leading economies, including but not limited to China and the United States. There are also concerns about the current and future relationship between China and the United States. Changes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1" w:name="page92"/>
    <w:bookmarkEnd w:id="9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in political conditions and in Sino-U.S. relations are difficult to predict and could adversely affect the overall market conditions and consequently our business, operating results and financial condition. Moreover, any tensions in international relations, such as tensions between China and the United States, whether or not related to our business, could cause investors to be unwilling to hold or buy our ADSs and consequently cause the trading price of our ADSs to decline. The various economic and policy measures enacted by the PRC government to bolster China’s economic growth could materially affect our business. Any adverse change in the economic conditions, governmental policies or laws and regulations in China could have a material adverse effect on the general economic condition and our business.</w:t>
      </w:r>
    </w:p>
    <w:p>
      <w:pPr>
        <w:spacing w:after="0" w:line="13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evolving PRC legal system, including uncertainties regarding the enforcement of laws, and sudden or unexpected changes in laws and regulations in China could adversely affect us and limit the legal protections available to you and us.</w:t>
      </w:r>
    </w:p>
    <w:p>
      <w:pPr>
        <w:spacing w:after="0" w:line="6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Our principal operating subsidiaries are incorporated under and governed by the laws of the PRC. The PRC legal system is based on written statutes. Prior court decisions may be cited for reference, but have limited precedential value. In 1979, the PRC government began to promulgate a comprehensive system of laws and regulations governing economic matters in general, such as foreign investment, corporate organization and governance, commerce, taxation and trade. However, recently enacted laws, rules and regulations may not sufficiently cover all aspects of economic activities in China or may be subject to various degrees of interpretation and discretion by the PRC regulatory agencies. Since the PRC legal system continues to evolve rapidly, the interpretations and enforcement of many laws, regulations and rules may further change or develop, which could adversely affect us. The PRC regulatory authorities may continue to introduce new laws and regulations from time to time. In particular, because some of these laws, rules and regulations are relatively new, and because of the limited number of published decisions, the interpretation and enforcement of these laws, rules and regulations involve uncertainties and may not be uniform and predictable. These aforesaid uncertainties in the PRC legal system may affect our judgment on the relevance of legal requirements and our ability to enforce our legal or contractual rights, which may adversely affect our business operation, financial condition and results of operations.</w:t>
      </w:r>
    </w:p>
    <w:p>
      <w:pPr>
        <w:spacing w:after="0" w:line="82"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Evolving laws and regulations could also affect the ability of a China-based company, such as our company, to obtain or maintain permits or licenses required to conduct business in China. In the absence of required permits or licenses, governmental authorities could impose material penalties on us or order us to rectify any non-compliance. In addition, as in regulatory authorities in many other countries, some regulatory requirements issued by certain PRC government authorities may be applied by other PRC government authorities in different manners (including local government authorities), thus making strict compliance with all regulatory requirements challenging. For example, we may have to resort to administrative and court proceedings to enforce the legal protection that we enjoy either by law or contract. However, since the interpretation and implementation of statutory and contractual terms are evolving, it may be difficult to predict the outcome of administrative and court proceedings. Furthermore, the PRC legal system encompasses government policies and administrative rules. New policies and rules may be introduced from time to time and may not be timely published, and existing ones may be modified, from time to time with possible retroactive effect under certain circumstances. In addition, the PRC legal system is based in part on government policies and internal rules. Some of the laws and regulations as well as the government policies and internal rules may not be published on a timely basis, and may have a retroactive effect under certain circumstances. As a result, we may not be aware of our violation of these laws, regulations, government policies and internal rules until some time after the occurrence of the violation. Such potential violations, including potential violations over the scope and effect of our contractual, property (including intellectual property) and procedural rights, could materially and adversely affect our business and impede our ability to continue our operations.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Furthermore, if China adopts more stringent standards with respect to environmental protection or corporate social responsibilities, we may incur increased compliance costs or become subject to additional restrictions in our operations. Intellectual property rights and confidentiality protections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2" w:name="page93"/>
    <w:bookmarkEnd w:id="9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in China may also be different from that in other countries. In addition, we cannot predict the effects of future developments in the PRC legal system on our business operations, including the promulgation of new laws, or changes to existing laws or the interpretation or enforcement thereof. These developments could limit the legal protections available to us and our investors, including you. Moreover, any litigation may be time-consuming and result in additional costs and diversion of our resources and management attention.</w:t>
      </w:r>
    </w:p>
    <w:p>
      <w:pPr>
        <w:spacing w:after="0" w:line="140"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We are subject to uncertainties of conducting the company’s business operations in China. The PRC government exerts substantial influence over the manner in which we conduct our business operations. It may influence or intervene in our operations at any time as part of its efforts to enforce PRC law, which could result in a material adverse change in our operations and the value of the ADSs.</w:t>
      </w:r>
    </w:p>
    <w:p>
      <w:pPr>
        <w:spacing w:after="0" w:line="7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As we conduct substantially all of our business in China, our operations are principally governed by PRC laws and regulations, and we are subject to risks associated with operating our business in China. The PRC government may intervene in or influence our operations at any time. The PRC government has, in recent years, published new policies that significantly affected certain industries, including the internet sector. Recent regulatory developments in China may subject us to additional regulatory review, including cybersecurity review, and security assessment measures of cross-border transfer of data, expose us to government discretion, or otherwise restrict our ability to offer securities and raise capital outside China, all of which could materially and adversely affect the business of us and the VIEs and the value of our securities. We cannot rule out the possibility that it will in the future release regulations or policies regarding our industry that could adversely affect our business, financial condition and results of operations.</w:t>
      </w:r>
    </w:p>
    <w:p>
      <w:pPr>
        <w:spacing w:after="0" w:line="85"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Furthermore, the PRC government has recently indicated an intent to exert more oversight and control over securities offerings and other capital markets activities that are conducted overseas and foreign investment in China-based companies like us. Any such intervention in or influence on our business operations or action to exert more oversight and control over securities offerings and other capital markets activities, once taken by the PRC government, could adversely affect our business, financial condition and results of operations and the value of our Class A ordinary shares or the ADSs, or significantly limit or completely hinder our ability to offer or continue to offer securities to investors and cause the value of such securities to significantly decline or, in extreme cases, become worthless.</w:t>
      </w:r>
    </w:p>
    <w:p>
      <w:pPr>
        <w:spacing w:after="0" w:line="138"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Failure or perceived failure by us to comply with the anti-monopoly and competition laws and regulations in the PRC may result in governmental investigations, enforcement actions, litigation or claims against us and could have an adverse effect on our business, reputation, results of operations and financial condition.</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PRC anti-monopoly regulators have in recent years strengthened enforcement under the anti-monopoly and competition laws and regulations. In March 2018, the SAMR was formed as a new governmental agency to take over, among other things, the anti-monopoly enforcement functions from the relevant departments under the Ministry of Commerce, the NDRC and the SAIC (the predecessor of the SAMR), respectively. On November 18, 2021, the State Council inaugurated the National Anti-monopoly Bureau, which aims to further implement the fair competition policies and strengthen anti-monopoly supervision in the PRC, especially to strengthen supervision and law enforcement in areas involving the platform economy, innovation, science and technology, information security and people’s well-being.</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PRC anti-monopoly regulators may also issue implementation rules or guidelines from time to time to reinforce their regulation on certain industrial sectors. On September 11, 2020, the Anti-monopoly Compliance Guideline for Operators was issued, which requires, under the PRC Anti-monopoly Law, operators to establish an anti-monopoly compliance management system to prevent anti-monopoly compliance risks. On February 7, 2021, the Anti-monopoly Committee of the State Council published the Anti-Monopoly Guidelines for the Platform Economy Sector,</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3" w:name="page94"/>
    <w:bookmarkEnd w:id="9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which is aimed at enhancing anti-monopoly administration on businesses that operate under the platform model and the overall platform economy. The Anti-Monopoly Guidelines for the Platform Economy Sector is consistent with the PRC Anti-Monopoly Law and prohibits monopolistic conduct such as entering into monopolistic agreements, abusing market dominance and concentration of undertakings that may have the effect to eliminate or restrict competition in the field of the platform economy. More specifically, the Anti-Monopoly Guidelines for the Platform Economy Sector outlines certain practices that may, if without justifiable reasons, constitute abuse of market dominance, including, without limitation, discriminating customers in terms of pricing and other transactional conditions using big data and analytics, coercing counterparties into exclusivity arrangements, using technology means to block competitors’ interfaces, favorable positioning in search results of goods displays, using bundled services to sell services and compulsory collection of unnecessary user data. In addition, the Anti-Monopoly Guidelines for the Platform Economy Sector also reinforce antitrust merger review for internet platform-related transactions to safeguard market competition.</w:t>
      </w:r>
    </w:p>
    <w:p>
      <w:pPr>
        <w:spacing w:after="0" w:line="8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addition, on November 15, 2021, the SAMR published the Overseas Anti-monopoly Compliance Guidelines for Enterprises, which is aimed at helping PRC companies establish and strengthen overseas anti-monopoly compliance systems to reduce overseas anti-monopoly compliance risks. The Guidelines apply to both PRC enterprises that conduct business and operations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 See “Regulations — Regulations on Anti-Monopoly and Anti-Unfair Competition Laws.”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the aforementioned guidelines were newly promulgated, there remains uncertainties as to how these guidelines will be implemented and whether these guidelines will have a material impact on our business, financial condition, results of operations and prospects. We cannot assure you that our business operations comply with such regulations and authorities’ requirements in all respects. If any non-compliance is raised by relevant authorities and determined against us, we may be subject to fines and other penalties.</w:t>
      </w:r>
    </w:p>
    <w:p>
      <w:pPr>
        <w:spacing w:after="0" w:line="76"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Furthermore, the SCNPC promulgated the amended Anti-Monopoly Law on June 24, 2022, which became effective on August 1, 2022 and increases the fines for illegal concentration of business operators to no more than 10 percent of its last year’s sales revenue if the concentration of business operator has or may have an effect of excluding or limiting competition, or a fine of up to RMB5 million if the concentration of business operator does not have an effect of excluding or limiting competition. The amended Anti-Monopoly Law also requires that the relevant authorities shall investigate a transaction where there is any evidence that the concentration has or may have the effect of eliminating or restricting competition, even if such concentration does not reach the filing threshold.</w:t>
      </w:r>
    </w:p>
    <w:p>
      <w:pPr>
        <w:spacing w:after="0" w:line="7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may be involved in investigations, inquiries, claims, complaints or other administrative requirements in relation to anti-monopoly and competition laws and regulations in the PRC from time to time, which regulate various potential monopolistic actions or arrangements, such as monopoly agreements, bundling or tie-in sales, unfair pricing practices, imposing unreasonable terms on the counterparties, requiring the operators on the platform to choose “one out of two” competitive platforms, charging additional and unreasonable fees, refusing to transact with certain counterparties without any reasonable ground, as well as concentrations of undertaking, and these investigations, claims and complaints are subject to the uncertainties associated with the evolving legislative activities and varied local enforcement practices. We are committed to complying with the foregoing laws, regulations and government guidelines and we continuously assess and evaluate our compliance status accordingly.</w:t>
      </w:r>
    </w:p>
    <w:p>
      <w:pPr>
        <w:spacing w:after="0" w:line="85"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In the case of our failure or perceived failure to comply with these laws and regulations and new legislations or guidelines to be promulgated from time to time, governmental agencies and regulators may, among other things, prohibit or rescind our acquisitions, divestitures, or combinations, impose</w:t>
      </w:r>
    </w:p>
    <w:p>
      <w:pPr>
        <w:spacing w:after="0" w:line="7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4" w:name="page95"/>
    <w:bookmarkEnd w:id="9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significant fines or penalties, require divestiture of certain of our assets, or impose other restrictions that limit or require us to modify our operations. It may be costly to adjust some of our business practices in order to comply with these laws, regulations, rules, guidelines and implementations,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business, financial condition and results of operations.</w:t>
      </w:r>
    </w:p>
    <w:p>
      <w:pPr>
        <w:spacing w:after="0" w:line="14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If the PCAOB is prevented from fully evaluating audits and quality control procedures of our auditor, investors may be deprived of the benefits of such PCAOB inspections.</w:t>
      </w:r>
    </w:p>
    <w:p>
      <w:pPr>
        <w:spacing w:after="0" w:line="52"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As a public company with securities listed on a national exchange, we will be required to have our financial statements audited by an independent registered public accounting firm registered with the PCAOB. A requirement of being registered with the PCAOB is that if requested by the SEC or PCAOB, such accounting firm is required to make its audits and related audit work papers be subject to regular inspections to assess its compliance with the applicable professional standards.</w:t>
      </w:r>
    </w:p>
    <w:p>
      <w:pPr>
        <w:spacing w:after="0" w:line="8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are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investors may be deprived of the benefits of such PCAOB inspections. In addition, we would be identified as a “Commission-Identified Issuer” under the HFCAA following the filing of the annual report for the relevant fiscal year, and if we were so identified for two consecutive years, trading in our securities on U.S. markets would be prohibited under the HFCAA. See “— The Holding Foreign Companies Accountable Act may result in the delisting of the ADSs. The delisting of our ADSs, or the threat of their being delisted, may materially and adversely affect the value of your investment.”</w:t>
      </w:r>
    </w:p>
    <w:p>
      <w:pPr>
        <w:spacing w:after="0" w:line="14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Holding Foreign Companies Accountable Act may result in the delisting of the ADSs. The delisting of our ADSs, or the threat of their being delisted, may materially and adversely affect the value of your investment.</w:t>
      </w:r>
    </w:p>
    <w:p>
      <w:pPr>
        <w:spacing w:after="0" w:line="5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Trading in our securities on U.S. markets, including the Nasdaq, may be prohibited under the HFCAA if the PCAOB determines that it is unable to inspect or investigate completely our auditor for two consecutive years. On December 16, 2021, the PCAOB issued the 2021 Determinations notifying the SEC of its determinations that the PCAOB was unable to inspect or investigate completely registered public accounting firms headquartered in mainland China and Hong Kong,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are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early 2023 and beyond. The PCAOB is required under the HFCAA to make its determination on an annual basis with</w:t>
      </w:r>
    </w:p>
    <w:p>
      <w:pPr>
        <w:spacing w:after="0" w:line="12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5" w:name="page96"/>
    <w:bookmarkEnd w:id="9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regard to its ability to inspect and investigate completely accounting firms based in mainland China and Hong Kong. The possibility of being a “Commission-Identified Issuer” and the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Such a delisting or trading prohibition would substantially impair your ability to sell or purchase our ADSs when you wish to do so, and the risk and uncertainty associated with delisting or trading prohibition would have a negative impact on the price of our ADSs. The threatened delisting or trading prohibition would significantly affect our ability to raise capital on terms acceptable to us, or at all, which would have a material adverse impact on our business, financial condition and prospects.</w:t>
      </w:r>
    </w:p>
    <w:p>
      <w:pPr>
        <w:spacing w:after="0" w:line="142"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Recent litigation, negative publicity, and regulatory and legislative actions surrounding China-based companies listed in the United States may negatively impact the trading price of our ADSs.</w:t>
      </w:r>
    </w:p>
    <w:p>
      <w:pPr>
        <w:spacing w:after="0" w:line="6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believe that litigation, negative publicity, and increased regulatory and legislative scrutiny surrounding companies with operations in China that are listed in the United States have negatively impacted, and may continue to negatively impact, the stock prices of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cause the market price of our ADSs to fall, divert management resources and energy, cause us to incur expenses in defending ourselves against rumors, and increase the premiums we pay for director and officer insurance. More broadly, deterioration in the relationship between China and the United States, including trade restrictions, investment prohibitions targeting Chinese technology companies and legislative proposals that could limit the ability of U.S. investors to hold securities of China-based companies, may reduce investor appetite for our ADSs and adversely affect their trading price regardless of our own financial performance or disclosure practices.</w:t>
      </w:r>
    </w:p>
    <w:p>
      <w:pPr>
        <w:spacing w:after="0" w:line="140"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72"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79"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6" w:name="page97"/>
    <w:bookmarkEnd w:id="9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61" w:lineRule="auto"/>
        <w:rPr>
          <w:sz w:val="20"/>
          <w:szCs w:val="20"/>
          <w:color w:val="auto"/>
        </w:rPr>
      </w:pPr>
      <w:r>
        <w:rPr>
          <w:rFonts w:ascii="Arial" w:cs="Arial" w:eastAsia="Arial" w:hAnsi="Arial"/>
          <w:sz w:val="13"/>
          <w:szCs w:val="13"/>
          <w:color w:val="auto"/>
        </w:rPr>
        <w:t>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the ADSs from the Nasdaq or the termination of the registration of our Class A ordinary shares under the Securities Exchange Act of 1934, or both, which would substantially reduce or effectively terminate the trading of the ADSs in the United States.</w:t>
      </w:r>
    </w:p>
    <w:p>
      <w:pPr>
        <w:spacing w:after="0" w:line="126"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Our business is susceptible to changes in government policies, including policies on automobile purchases, ownership, taxation, vehicle title transfers and used car transactions across regions and provinces. Failure to adequately respond to such changes could adversely affect our business.</w:t>
      </w:r>
    </w:p>
    <w:p>
      <w:pPr>
        <w:spacing w:after="0" w:line="72"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Government policies on automobile purchases and ownership may have a material impact on our business due to their influence on consumer behaviors. Since 2009, the PRC government has changed the vehicle purchase tax on automobiles with 1.6 liter or smaller engines several times. In addition, in August 2014, several PRC governmental authorities jointly announced that from September 2014 to December 2017, purchases of new energy automobiles designated on certain catalogs will be exempted from vehicle purchase taxes. In April 2015, several PRC governmental authorities also jointly announced that from 2016 to 2020, purchasers of new energy automobiles designated on certain catalogs will enjoy subsidies. In December 2016, relevant PRC governmental authorities further adjusted the subsidy policy for new energy automobiles. We cannot predict whether government subsidies will remain in the future or whether similar incentives will be introduced, and if they are, their impact on automobile retail transactions in China. It is possible that automobile retail transactions may decline significantly upon expiration of the existing government subsidies if consumers have become used to such incentives and postpone purchase decisions in the absence of new incentives. If automobile retail transactions indeed decline, our revenues and results of operations may be materially and adversely affected.</w:t>
      </w:r>
    </w:p>
    <w:p>
      <w:pPr>
        <w:spacing w:after="0" w:line="8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Atmospheric Pollution Prevention and Control Law of the People’s Republic of China, as amended on October 26, 2018, advocates reasonable control over the number of fuel vehicles in accordance with urban planning. Some local governmental authorities issued regulations and implementation rules in order to control urban traffic and the number of automobiles within particular urban areas. For example, Beijing municipal authorities adopted regulations and implementing rules in December 2010 to limit the total number of license plates issued to new automobile purchases in Beijing each year. Guangzhou municipal authorities also announced similar regulations, which came into effect in July 2013. There are similar policies that restrict the issuance of new automobile license plates in Shanghai, Tianjin, Hangzhou, Guiyang and Shenzhen. In September 2013, the State Council released a plan for the prevention and remediation of air pollution, which requires large cities, such as Beijing, Shanghai and Guangzhou, to further restrict the number of motor vehicles. In September 2013, the Beijing government issued an additional regulation to limit the total number of vehicles in Beijing to no more than six million by the end of 2017. In addition to the quantity control of automobiles, some local governmental authorities have also adopted environmental protection policies and regulations in recent years, pursuant to which an automobile, failing to meet certain environmental protection requirements or standards, will not be able to obtain the license plate issued by relevant local governmental authorities. As some used cars cannot meet the environmental protection standards required in some regions, the above policies and regulations may restrict or adversely impact the transactions of such used cars.</w:t>
      </w:r>
    </w:p>
    <w:p>
      <w:pPr>
        <w:spacing w:after="0" w:line="5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Circular on Improving the Filing of Used Automobiles Market Entities and the Administration of Automobiles Transactions Registration promulgated by the MOFCOM and the MPS on September 6, 2022 and the Circular on Measures to Enliven Automobile Trading and Expand Automobile Consumption promulgated by the general offices of 17 departments including the MOFCOM on July 5, 2022 set forth the measures to improve the supervision of used automobiles markets, including but not limited to the restrictions on the used cars transactions of individuals that took effect on January 1, 2023, and the filing requirements of the operators of automobiles markets as well as the seller of used automobiles that took effect on October 1, 2022. Sellers of used automobiles such as the car dealers and retailers may fail to adequately respond to such measures, and such policies and regulations may restrict or</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7" w:name="page98"/>
    <w:bookmarkEnd w:id="9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adversely affect the transactions of such used cars. Such regulatory developments, as well as other uncertainties, may affect the growth prospects of China’s automobile industry, which in turn may have a material adverse impact on our business.</w:t>
      </w:r>
    </w:p>
    <w:p>
      <w:pPr>
        <w:spacing w:after="0" w:line="13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enforcement of stricter advertisement laws and regulations in the PRC may adversely affect our business and our profitability.</w:t>
      </w:r>
    </w:p>
    <w:p>
      <w:pPr>
        <w:spacing w:after="0" w:line="21"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Under PRC advertising laws and regulations, we are obligated to monitor the advertising content shown on our platform to ensure that such content is true and accurate and in compliance with applicable PRC laws and regulations. If advertisements shown on our platform are in violation of relevant PRC advertising laws and regulations, we may be subject to penalties, including fines, confiscation of advertising income, orders to cease dissemination of the advertisements and orders for rectification. The Chinese government may from time to time promulgate new advertising laws and regulations, including possible additional restrictions on online advertising services, and these restrictions may relate to, among other attributes, the content, placement and appearance of advertisements. We cannot assure you that any advertisement we publish in the future will not be subject to further penalties. And any such penalties may disrupt our business and our competition with competitors, which could affect our results of operations and financial condition.</w:t>
      </w:r>
    </w:p>
    <w:p>
      <w:pPr>
        <w:spacing w:after="0" w:line="139"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Heightened tensions in international relations, particularly between China and the United States, may adversely affect our business, financial condition and results of operations, and the listing of our ADSs.</w:t>
      </w:r>
    </w:p>
    <w:p>
      <w:pPr>
        <w:spacing w:after="0" w:line="4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U.S. government has made statements and taken certain actions that may lead to changes in U.S. and international trade policies towards China. It remains unclear what additional actions, if any, will be taken by the U.S. or other governments with respect to international trade agreements, the imposition of tariffs on goods imported into the United States, tax policy related to international commerce or other trade matters.</w:t>
      </w:r>
    </w:p>
    <w:p>
      <w:pPr>
        <w:spacing w:after="0" w:line="63"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are closely monitoring potential changes in international trade policy and assessing the potential impact of these and other trade policy changes on our business operations and financial performance.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In particular, in April 2025, the United States announced broad tariffs under the International Emergency Economic Powers Act (IEEPA) on imports from all countries, comprising a 10% so-called “baseline” tariff on all countries, varying so-called “reciprocal” tariffs on certain trade partners, and a so-called “fentanyl-related” tariff of 20% on goods from China, Mexico and Canada. After several rounds of escalations from both the U.S. and Chinese governments, the U.S. implemented broad reciprocal tariffs of 145% and China imposed tariffs of 125%, but these were reduced to 30% and 10%, respectively, as part of an agreement the two countries announced on May 12, 2025. On February 20, 2026, the U.S. Supreme Court found that the tariffs imposed by U.S. President Trump under IEEPA were unlawful. Following the decision, the U.S. administration rescinded the IEEPA-based tariffs, but concurrently imposed a 10% temporary import surcharge under section 122 of the Trade Act of 1974 on imports from all U.S. trading partners for a 150-day period commencing on February 24, 2026 and discussed plans to impose other tariffs in reliance on other statutory authority.</w:t>
      </w:r>
    </w:p>
    <w:p>
      <w:pPr>
        <w:spacing w:after="0" w:line="7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U.S. tariff policies are rapidly evolving, and the final outcome, including the timing, impact and potential legal challenges regarding any newly implemented tariffs, is highly uncertain. Higher tariffs could generally negatively affect economic conditions in China, which could adversely affect our business, financial condition, and results of operations, and the market price of our ADSs.</w:t>
      </w:r>
    </w:p>
    <w:p>
      <w:pPr>
        <w:spacing w:after="0" w:line="5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While cross-border business is currently not an area of our focus, if we decide to expand our business internationally in the future or list imported vehicles and other products on our platforms, any unfavorable government policies on international trade, such as regulatory restrictions on capital</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8" w:name="page99"/>
    <w:bookmarkEnd w:id="9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3" w:lineRule="auto"/>
        <w:rPr>
          <w:sz w:val="20"/>
          <w:szCs w:val="20"/>
          <w:color w:val="auto"/>
        </w:rPr>
      </w:pPr>
      <w:r>
        <w:rPr>
          <w:rFonts w:ascii="Arial" w:cs="Arial" w:eastAsia="Arial" w:hAnsi="Arial"/>
          <w:sz w:val="14"/>
          <w:szCs w:val="14"/>
          <w:color w:val="auto"/>
        </w:rPr>
        <w:t>flows or tariffs, may affect consumer demand, our ability to provide certain services on our platforms or our ability to provide services in certain countries. In particular, if any new tariffs, legislation and/or regulations are implemented, or if existing trade agreements are renegotiated or, especially, if the U.S. government takes retaliatory trade actions due to ongoing U.S.-China trade and political tension, such changes could have an adverse effect on our business, financial condition and results of operations. Furthermore, exports, re-exports and transfers of our services must be made in compliance with various economic sanctions and export controls laws in different jurisdictions. Regarding economic sanctions, the most significant controls are those administered by OFAC, which prohibit the provision of services to certain countries, regions, governments, entities and persons targeted by U.S. sanctions. Regarding U.S. export controls, the U.S. Export Administration Regulations (the “EAR”), administered by the U.S. Department of Commerce, Bureau of Industry and Security (“BIS”), have broad jurisdiction, covering both U.S.-origin items and certain foreign-produced items. The BIS also maintains lists of persons that are subject to enhanced export control restrictions. One such list, the Entity List, includes a list of foreign persons on which certain trade restrictions are imposed. In recent years, the United States has placed an increasing number of entities on the Entity List and other restricted or prohibited party lists. On September 29, 2025, the BIS issued an interim final rule that extended Entity List and Military End User List restrictions to foreign entities not directly designated on these lists that are 50% or more owned, directly or indirectly and in the aggregate, by parties on the Entity List or certain other restricted party lists (the “Affiliates Rule”). However, following the U.S.-China summit meeting on October 30, 2025, the United States suspended implementation of the Affiliates Rule for one year beginning November 10, 2025. These regulatory policies have introduced uncertainties to global supply chains — in particular the transfer and production of technology goods in China — and could negatively impact our ability to procure the technology necessary to grow our business. Our results of operations could be adversely affected if any such tensions or unfavorable government trade policies harm the Chinese economy or the global economy in general.</w:t>
      </w:r>
    </w:p>
    <w:p>
      <w:pPr>
        <w:spacing w:after="0" w:line="97"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Legislative or administrative actions in respect of Sino-U.S. relations could increase investor caution towards affected issuers, including us, and the market price of our ordinary shares and ADSs could be adversely affected. For example, the SEC has issued statements primarily focused on companies with significant China-based operations, such as us. In addition, beginning in December 2020, the United States imposed sanctions on certain Chinese companies that prohibit U.S. persons from buying or selling the publicly traded securities of these companies as well as securities that are derivatives of or provide investment exposure to these companies. The implementation of these restrictions forced the delisting of those sanctioned issuers that were then listed on U.S. exchanges. The U.S. government designated these companies as “China Military-Industrial Complex Companies,” or CMIC Companies, based on their purported links to the Chinese military or Chinese military infrastructure or capabilities. More recently, during an April 9, 2025 television interview, in response to a journalist’s question on whether the U.S. government could include possible delistings of Chinese companies from U.S. exchanges as a possible step the United States could take in its ongoing trade disputes with China, the U.S. Secretary of Treasury, Scott Bessent, declined to exclude this possibility. If the U.S. government were to take such steps, it is not known how or when the U.S. government might implement such delistings or whether there would be any transition period or exceptions. If the U.S. government were to issue any order or otherwise require or cause the delisting of equity securities issued by China-based issuers, it could have a material adverse effect on the price of our ADSs.</w:t>
      </w:r>
    </w:p>
    <w:p>
      <w:pPr>
        <w:spacing w:after="0" w:line="7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October 28, 2024, the Office of Investment Security of the U.S. Department of the Treasury issued a final rule (the “Outbound Investment Rule”), which provided for the establishment of a new national security regulatory framework to control outbound investment from the United States in certain sensitive industry sectors in the People’s Republic of China, including Hong Kong and Macau. The Outbound Investment Rule became effective on January 2, 2025. The Outbound Investment Rule imposes notification requirements and prohibitions on specified investments by U.S. persons in certain entities engaged in specified “Covered Activities” within three areas of technology: semiconductors and microelectronics, quantum information technologies, and artificial intelligence systems. Persons from “Countries of Concern” (which are defined in the Outbound Investment Rule to include entities</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99" w:name="page100"/>
    <w:bookmarkEnd w:id="9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7" w:lineRule="auto"/>
        <w:rPr>
          <w:sz w:val="20"/>
          <w:szCs w:val="20"/>
          <w:color w:val="auto"/>
        </w:rPr>
      </w:pPr>
      <w:r>
        <w:rPr>
          <w:rFonts w:ascii="Arial" w:cs="Arial" w:eastAsia="Arial" w:hAnsi="Arial"/>
          <w:sz w:val="13"/>
          <w:szCs w:val="13"/>
          <w:color w:val="auto"/>
        </w:rPr>
        <w:t>with their principal place of business in China or that are controlled by Chinese citizens or the Chinese government, including through contractual arrangements, ownership of 50% or more of the entity’s voting power, equity interests, or voting power of the board) that are engaged in specified activities within these three technology sectors are defined as “Covered Foreign Persons.” Investments by U.S. persons subject to the Outbound Investment Rule that are defined as “Covered Transactions” include acquisitions of equity interests, certain debt financing and joint ventures involving Covered Foreign Persons. The Outbound Investment Rule excludes some investments from the scope of Covered Transactions, including acquisitions of publicly traded securities except when the U.S. person investor secures rights that go beyond standard minority shareholder protections.</w:t>
      </w:r>
    </w:p>
    <w:p>
      <w:pPr>
        <w:spacing w:after="0" w:line="74"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 xml:space="preserve">We do not consider ourselves to be a Covered Foreign Person and, therefore, we believe that this offering will not be subject to the Outbound Investment Rule’s prohibitions or notification requirements. However, there is no assurance that the U.S. Department of Treasury will take the same view as ours. However, U.S. persons may be able to rely on the Outbound Investment Rule’s exception from its scope for certain investments in publicly traded securities, or the Publicly Traded Securities Exception, for their purchases of our ADSs in this offering. On December 23, 2025, the Treasury issued new guidance regarding compliance with the Final Rule in the form of frequently asked questions in respect of the OISP (the “Treasury FAQ,” available at </w:t>
      </w:r>
      <w:r>
        <w:rPr>
          <w:rFonts w:ascii="Arial" w:cs="Arial" w:eastAsia="Arial" w:hAnsi="Arial"/>
          <w:sz w:val="14"/>
          <w:szCs w:val="14"/>
          <w:i w:val="1"/>
          <w:iCs w:val="1"/>
          <w:color w:val="auto"/>
        </w:rPr>
        <w:t>https://home.treasury.gov/policy -issues/international/outbound-investment-program/frequently-asked-questions</w:t>
      </w:r>
      <w:r>
        <w:rPr>
          <w:rFonts w:ascii="Arial" w:cs="Arial" w:eastAsia="Arial" w:hAnsi="Arial"/>
          <w:sz w:val="14"/>
          <w:szCs w:val="14"/>
          <w:color w:val="auto"/>
        </w:rPr>
        <w:t>). This new guidance included questions on the scope of the Publicly Traded Securities</w:t>
      </w:r>
      <w:r>
        <w:rPr>
          <w:rFonts w:ascii="Arial" w:cs="Arial" w:eastAsia="Arial" w:hAnsi="Arial"/>
          <w:sz w:val="14"/>
          <w:szCs w:val="14"/>
          <w:i w:val="1"/>
          <w:iCs w:val="1"/>
          <w:color w:val="auto"/>
        </w:rPr>
        <w:t xml:space="preserve"> </w:t>
      </w:r>
      <w:r>
        <w:rPr>
          <w:rFonts w:ascii="Arial" w:cs="Arial" w:eastAsia="Arial" w:hAnsi="Arial"/>
          <w:sz w:val="14"/>
          <w:szCs w:val="14"/>
          <w:color w:val="auto"/>
        </w:rPr>
        <w:t>Exception. In one of the questions, Treasury FAQ X.4., the Treasury stated that absent additional facts, if a U.S. person acquires a publicly traded security that, at the time of such acquisition, is publicly traded, the security falls within the description of “publicly traded security” for purposes of the Publicly Traded Securities Exception. Because the trading of our ADSs would commence before the investors in the offering acquire the ADSs, we believe the Treasury’s view on the availability of the Publicly Traded Securities Exception expressed in FAQ X.4. may be applicable to a U.S. person’s acquisition of our ADSs in the offering. As discussed above, the Publicly Traded Securities Exception is not available if the transaction affords the U.S. person rights beyond standard minority protections with respect to the issuer of the securities. Investors seeking to rely on the Publicly Traded Securities Exception must make their own determinations as to their obligations under the Final Rule, and they should consult their own counsel if they have questions. In addition, even though following this offering, U.S. persons’ acquisitions of our ADSs will generally be exempted from the scope of covered transactions under the Outbound Investment Rule under the Publicly Traded Securities Exception, the Outbound Investment Rule could still limit our ability to raise capital or contingent equity capital from U.S. investors, and thus our ability to raise such capital may be significantly and negatively affected, in particular for sales of equity securities that are not publicly traded, which could be detrimental to our business, financial condition and prospects.</w:t>
      </w:r>
    </w:p>
    <w:p>
      <w:pPr>
        <w:spacing w:after="0" w:line="9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addition, the outbound investment rules could be changed by executive actions of the U.S. government, including changes to the scope of activities and technologies applicable to prohibited transactions and the scope and availability of exceptions to the Outbound Investment Rule. For instance, on February 21, 2025, President Trump issued the America First Investment Policy Memorandum which, among other things, contemplates possible application of the Outbound Investment Rule to a wider range of technologies, including biotechnology, hypersonics, aerospace, advanced manufacturing, directed energy, and other areas “implicated by the PRC’s national Military-Civil Fusion strategy” and applying restrictions to a wider range of investments, including publicly traded securities. The memorandum directs the Secretary of the Treasury, in consultation with other relevant agencies, to promulgate rules and regulations to implement these policies. As of the date of this prospectus, the proposed changes under the America First Investment Policy have not been implemented, although the proposed restrictions may further deepen the uncertainties for cross-border collaborations, investments and financing opportunities of China-based issuers including us. Furthermore,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The COINS Act will not become effective until</w:t>
      </w:r>
    </w:p>
    <w:p>
      <w:pPr>
        <w:spacing w:after="0" w:line="11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0" w:name="page101"/>
    <w:bookmarkEnd w:id="10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5" w:lineRule="auto"/>
        <w:rPr>
          <w:sz w:val="20"/>
          <w:szCs w:val="20"/>
          <w:color w:val="auto"/>
        </w:rPr>
      </w:pPr>
      <w:r>
        <w:rPr>
          <w:rFonts w:ascii="Arial" w:cs="Arial" w:eastAsia="Arial" w:hAnsi="Arial"/>
          <w:sz w:val="13"/>
          <w:szCs w:val="13"/>
          <w:color w:val="auto"/>
        </w:rPr>
        <w:t>the U.S. Department of the Treasury issues implementing regulations, which must be promulgated through notice-and-comment rulemaking, and be issued no later than March 13, 2027. Accordingly, the Treasury may amend, expand or otherwise modify existing outbound investment prohibitions and restrictions pursuant to the COINS Act. Possible changes to the nature of our business, Outbound Investment Rule or the implementation of the COINS Act could limit our ability to raise capital or contingent equity capital from U.S. investors in the future, or our ability to raise such capital may be significantly and negatively affected, which could be detrimental to our capital raising capacity and our business, financial condition and prospects. In addition, changes to the publicly traded securities exception or other aspects of the Outbound Investment Rule or the COINS Act could prohibit the holding or trading of our ADSs by U.S. persons or make our ADSs less attractive to such investors. In such cases, the value of the ADSs may significantly decline or, in extreme cases, become worthless.</w:t>
      </w:r>
    </w:p>
    <w:p>
      <w:pPr>
        <w:spacing w:after="0" w:line="13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are an exempted company with limited liability incorporated under the laws of the Cayman Islands. We conduct substantially all of our operations in China. In addition, all our senior executive officers reside within China for a significant portion of the time and all of them are PRC nationals or Hong Kong residents. As a result, it may be complex and costly for our shareholders to effect service of process upon us or those persons inside China.</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written treaties providing for the reciprocal recognition and enforcement of judgments of courts with the United States, the Cayman Islands or some other countries and regions. Therefore, it is uncertain whether the judgment of a court in any of these non-PRC jurisdictions in relation to any matter not subject to a binding arbitration provision can be recognized or enforced.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80"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as well as the corresponding foreign judgments on such claims, generally are difficult to pursue and enforce as a matter of law or practicality in many emerging markets, including China. As a result of all of the above, you may have more difficulties in protecting your interests in your emerging market investments.</w:t>
      </w:r>
    </w:p>
    <w:p>
      <w:pPr>
        <w:spacing w:after="0" w:line="142"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are a Cayman Islands holding company and we rely principally on dividends and other distributions on equity from our PRC subsidiaries for our cash and financing requirements, including the funds necessary to pay dividends and other cash distributions to our shareholders and services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1" w:name="page102"/>
    <w:bookmarkEnd w:id="10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6" w:lineRule="auto"/>
        <w:rPr>
          <w:sz w:val="20"/>
          <w:szCs w:val="20"/>
          <w:color w:val="auto"/>
        </w:rPr>
      </w:pPr>
      <w:r>
        <w:rPr>
          <w:rFonts w:ascii="Arial" w:cs="Arial" w:eastAsia="Arial" w:hAnsi="Arial"/>
          <w:sz w:val="14"/>
          <w:szCs w:val="14"/>
          <w:color w:val="auto"/>
        </w:rPr>
        <w:t>of any debt we may incur.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These reserves are not distributable as cash dividends. Furthermore, any declaration and payment of dividend shall comply with relevant articles or partnership agreements of such PRC subsidiaries. If our PRC subsidiaries incur debt on their own behalf in the future, the instruments governing the debt may impose limitations on their ability to pay dividends or make other payments to us.</w:t>
      </w:r>
    </w:p>
    <w:p>
      <w:pPr>
        <w:spacing w:after="0" w:line="87"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To stabilize capital flows and the RMB’s exchange ratio, the People’s Bank of China and the State Administration of Foreign Exchange, or SAFE, have implemented a series of restrictions upon capital flows, including relevant restrictions and procedural requirements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affect our PRC subsidiaries’ ability to provide offshore loans to us. The PRC government may strengthen such regulatory restrictions on capital flows from time to time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3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addition, the Enterprise Income Tax Law and its implementation rules provide that a withholding tax at a rate of 10% will be applicable to dividends payable by Chinese companies to non-PRC resident enterprises unless reduced under treaties or arrangements between the PRC central government and governments of other countries or regions where the non-PRC resident enterprises are tax resident.</w:t>
      </w:r>
    </w:p>
    <w:p>
      <w:pPr>
        <w:spacing w:after="0" w:line="138"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custodians or authorized users of our corporate chops and seals may fail to fulfill their responsibilities, or misappropriate or misuse these assets.</w:t>
      </w:r>
    </w:p>
    <w:p>
      <w:pPr>
        <w:spacing w:after="0" w:line="41"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Under PRC law,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spacing w:after="0" w:line="6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time and resources to resolve and divert management from our operations.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2" w:name="page103"/>
    <w:bookmarkEnd w:id="10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w:t>
      </w:r>
    </w:p>
    <w:p>
      <w:pPr>
        <w:spacing w:after="0" w:line="6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or FIEs, in China, capital contributions to our PRC subsidiaries are subject to registration with SAMR or its local counterpart and registration with a local bank authorized by SAFE. In addition, (i) any foreign loan procured by our PRC subsidiaries is required to be registered with SAFE or its local branches and</w:t>
      </w:r>
    </w:p>
    <w:p>
      <w:pPr>
        <w:spacing w:after="0" w:line="2" w:lineRule="exact"/>
        <w:rPr>
          <w:sz w:val="20"/>
          <w:szCs w:val="20"/>
          <w:color w:val="auto"/>
        </w:rPr>
      </w:pPr>
    </w:p>
    <w:p>
      <w:pPr>
        <w:jc w:val="both"/>
        <w:ind w:left="1420" w:right="1398" w:hanging="5"/>
        <w:spacing w:after="0" w:line="238"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of our PRC subsidiaries may not procure loans which exceed the difference between its total investment amount and registered capital or, as an alternative, they may only procure loans subject to the calculation approach and limitation as provided by the People’s Bank of China.</w:t>
      </w:r>
    </w:p>
    <w:p>
      <w:pPr>
        <w:spacing w:after="0" w:line="84"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On March 30, 2015, the SAFE promulgated the Circular on Reforming the Management Approach Regarding the Foreign Exchange Capital Settlement of Foreign-Invested Enterprises, or SAFE Circular 19, which took effect as of June 1, 2015.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The SAFE issued the Circular on Reforming and Regulating Policies on the Control over Foreign Exchange Settlement of Capital Accounts, or SAFE Circular 16, effective on June 9,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On October 23, 2019, SAFE further issued the Circular of the State Administration of Foreign Exchange on Further Promoting the Facilitation of Cross-Border Trade and Investment, or the Circular 28, which took effect on the same day. Circular 28 allows non -investment foreign-invested enterprises to use their capital funds to make equity investments in China as long as such investments do not violate the then-effective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On April 10, 2020, the SAFE promulgated the Circular of SAFE on Optimizing Foreign Exchange Administration to Support the Development of Foreign-related Business, or the SAFE Circular 8, the reform of facilitating the payments of incomes under the capital accounts shall be promoted nationwide. As this circular is relatively new, there remains uncertainty as to its interpretation and application and any other future foreign exchange-related rules. Violations of these circulars could result in severe monetary or other penalties.</w:t>
      </w:r>
    </w:p>
    <w:p>
      <w:pPr>
        <w:spacing w:after="0" w:line="148"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Fluctuations in exchange rates could have an adverse effect on our results of operations and the value of your investment.</w:t>
      </w:r>
    </w:p>
    <w:p>
      <w:pPr>
        <w:spacing w:after="0" w:line="5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value of the Renminbi against the U.S. dollar and other currencies may fluctuate and is affected by, among other things, changes in societal and economic conditions in China and by China’s foreign exchange policies. Since June 2010, the Renminbi has fluctuated against the U.S. dollar, at times significantly and unpredictably. Since October 1, 2016, the Renminbi has joined</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3" w:name="page104"/>
    <w:bookmarkEnd w:id="10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the International Monetary Fund’s basket of currencies that make up the Special Drawing Right (SDR) along with the U.S. dollar, the euro, the Japanese yen and the British pound. In the fourth quarter of 2016, the Renminbi depreciated significantly in the backdrop of a surging U.S. dollar and persistent capital outflows from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Significant revaluation of the Renminbi may have a material adverse effect on your investment. All of our revenues and costs are denominated in Renminbi. Any significant revaluation of Renminbi may adversely affect our revenues, earnings and financial position, and the value of, and any dividends payable on, the ADSs in U.S. dollars. To the extent that we need to convert U.S. dollars into Renminbi for capital expenditures and working capital and other business purposes,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 and if we decide to convert RMB into U.S. dollars for the purpose of making payments for dividends on our Class A ordinary shares or ADSs, strategic acquisitions or investments or other business purposes, appreciation of the U.S. dollar against the RMB would have a negative effect on the U.S. dollar amount available to us.</w:t>
      </w:r>
    </w:p>
    <w:p>
      <w:pPr>
        <w:spacing w:after="0" w:line="90"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Relatively limited hedging options are available in China to reduce our exposure to exchange rate fluctuations. To date, we have not entered into any hedging transactions in an effort to reduce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28"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Regulatory restrictions on currency conversion may limit our ability to utilize our revenues effectively and affect the value of your investment.</w:t>
      </w:r>
    </w:p>
    <w:p>
      <w:pPr>
        <w:spacing w:after="0" w:line="41"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The PRC government imposes regulatory restrictions on the convertibility of the Renminbi into foreign currencies and, in certain cases, the remittance of currency out of China, and requires approval or registration in accordance with regulatory requirements. We receive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foreign loans or additional equity investment denominated in a foreign currency flowed into mainland China, and where Renminbi is to be converted into foreign currency and remitted out of China to pay capital expenses such as the repayment of loans denominated in foreign currencies. As a result, we need to obtain SAFE approval or registration (some of which are now processed by commercial banks under the supervision of SAFE) to provide foreign capital to our PRC operations either as foreign loans to or as additional capital investments in our PRC subsidiaries, or to use cash generated from the operations of our PRC subsidiaries to pay off their respective debt in a currency other than Renminbi owed to entities outside China, or to make other</w:t>
      </w:r>
    </w:p>
    <w:p>
      <w:pPr>
        <w:spacing w:after="0" w:line="26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4" w:name="page105"/>
    <w:bookmarkEnd w:id="10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9" w:lineRule="auto"/>
        <w:rPr>
          <w:sz w:val="20"/>
          <w:szCs w:val="20"/>
          <w:color w:val="auto"/>
        </w:rPr>
      </w:pPr>
      <w:r>
        <w:rPr>
          <w:rFonts w:ascii="Arial" w:cs="Arial" w:eastAsia="Arial" w:hAnsi="Arial"/>
          <w:sz w:val="13"/>
          <w:szCs w:val="13"/>
          <w:color w:val="auto"/>
        </w:rPr>
        <w:t>capital expenditure payments outside China in a currency other than Renminbi. The PRC government may further restrict access to foreign currencies for current account transactions in the future. If the foreign exchange regulatory system prevents us from obtaining sufficient foreign currencies to satisfy our demands, or from effectively utilizing our capital denominated in a foreign currency for the purpose of our PRC operations, we would encounter difficulty in funding our operations, which may adversely affect our business, results of operations and financial condition. Furthermore, we may not be able to pay dividends in foreign currencies to our shareholders, including holders of the ADSs.</w:t>
      </w:r>
    </w:p>
    <w:p>
      <w:pPr>
        <w:spacing w:after="0" w:line="128"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Certain PRC regulations may make it more difficult for us to pursue growth through acquisitions.</w:t>
      </w:r>
    </w:p>
    <w:p>
      <w:pPr>
        <w:spacing w:after="0" w:line="52"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Among other things, Provisions on Merger and Acquisition of Domestic Enterprises by Foreign Investors, or the M&amp;A Rules, adopted by six PRC regulatory agencies in 2006 and amended in 2009, establish additional procedures and requirements on merger and acquisition activities by foreign investors. Such regulation requires, among other things, that the PRC Ministry of Commerce, or the MOFCOM, under certain circumstances, be notified in advance of any change-of-control transaction in which a foreign investor takes control of an affiliated PRC domestic enterprise. Moreover, the Anti-Monopoly Law promulgated by the Standing Committee of the National People’s Congress of China, which was originally effective in 2008 and later amended on June 24, 2022 and effective since August 1, 2022, requires that transactions which are deemed concentrations and involve parties with specified turnover thresholds to be cleared by the relevant anti-monopoly authority before they can be completed. In addition, Measures for the Security Review of Foreign Investment promulgated by the NDRC, and the MOFCOM in December 2020 specify that in respect of foreign investments in military, national defense-related areas or in locations in proximity to military facilities, or foreign investments that would result in obtaining actual control of enterprises in certain key sectors, such as critical agricultural products, energy and resources, equipment manufacturing, infrastructure, transportation, cultural products and services, information technology, internet products and services, financial services and technology sectors, the foreign investor or the counterpart in China in relation to the foregoing foreign investments is required to proactively report to the designated governmental authorities in advance of the investment and shall not commence the foreign investments until the governmental authorities make a determination on whether to initiate a security review.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and the SAMR, may delay or inhibit our ability to complete such transactions, which could affect our ability to expand our business or maintain our market share.</w:t>
      </w:r>
    </w:p>
    <w:p>
      <w:pPr>
        <w:spacing w:after="0" w:line="292"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PRC regulations relating to offshore investment activities by PRC residents may subject our PRC resident beneficial owners or our PRC subsidiaries to liability or penalties, limit our ability to inject capital into our PRC subsidiaries, or limit our PRC subsidiaries’ ability to increase their registered capital or distribute profits to us, or may otherwise adversely affect us.</w:t>
      </w:r>
    </w:p>
    <w:p>
      <w:pPr>
        <w:spacing w:after="0" w:line="75"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SAFE issued Circular on Several Issues Concerning Foreign Exchange Administration for Domestic Residents to Engage in Financing and in Return Investments via Overseas Special Purpose Companies, or SAFE Circular 75, on October 21, 2005, which became effective on November 1, 2005. Under SAFE Circular 75, prior registration with the local SAFE branch is required for PRC residents to establish or to control an offshore company for the purposes of financing that offshore company with assets or equity interests in an onshore enterprise located in the PRC. 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w:t>
      </w:r>
    </w:p>
    <w:p>
      <w:pPr>
        <w:spacing w:after="0" w:line="11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5" w:name="page106"/>
    <w:bookmarkEnd w:id="10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3"/>
          <w:szCs w:val="13"/>
          <w:color w:val="auto"/>
        </w:rPr>
        <w:t>equity interests in domestic enterprises or offshore assets or interests.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SAFE Circular 37 is applicable to our shareholders who are PRC residents and may be applicable to any offshore acquisitions that we make in the future. See “Regulation — Regulations relating to Foreign Exchange Control — Regulations on Foreign Exchange Registration of Overseas Investment by PRC Residents.” In addition, such PRC residents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If any PRC shareholder of such SPVs fails to make the required registration or to update the previously filed registration, the subsidiary of such SPVs in China may be prohibited from distributing theirs profits or the proceeds from any capital reduction, share transfer or liquidation to the SPVs, and the SPVs may also be prohibited from making additional capital contributions into their subsidiary in China.</w:t>
      </w:r>
    </w:p>
    <w:p>
      <w:pPr>
        <w:spacing w:after="0" w:line="7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cannot guarantee that all of our shareholders or beneficial owners who are residents of the PRC have complied with the relevant registrations or approvals required by the SAFE regulations or will do so in the future. For instance, due to evolving interpretations surrounding the application of SAFE Circular 37, as of the date of this prospectus, to our best knowledge, one individual who is our current beneficial owner and a PRC resident has not completed the initial SAFE registration. Any failure by such beneficial owner to comply with SAFE regulations, or any failure by us to update the foreign exchange registrations of our PRC subsidiaries, may result in fines or legal sanctions against us, limit our overseas or cross-border investment activities, impact our ability to receive distributions or dividends from our PRC subsidiaries, or affect our ownership structure. Such outcomes could have an adverse effect on our business and prospects.</w:t>
      </w:r>
    </w:p>
    <w:p>
      <w:pPr>
        <w:spacing w:after="0" w:line="8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have requested shareholders or beneficial owners who directly or indirectly hold shares in our Cayman Islands holding company and are known to us as being PRC residents to complete the foreign exchange registrations. However, we may not be informed of the identities of all the PRC individuals or entities holding direct or indirect interest in our company, nor can we compel our beneficial owners to comply with the applicable registration requirements under SAFE regulations. As a result, we cannot assure you that all of our shareholders or beneficial owners who are PRC residents have complied with, and will in the future make, obtain or update any applicable registrations or approvals required by SAFE regulations. Any failure or inability by such shareholders, beneficial owners or our subsidiaries to comply with SAFE regulations may subject us to fines or legal sanctions, such as restrictions on our cross-border investment activities or our PRC subsidiary’s ability to distribute dividends to, or obtain foreign exchange -denominated loans from, our company or prevent us from making distributions or paying dividends. As a result, our business operations and our ability to make distributions to you could be materially and adversely affected.</w:t>
      </w:r>
    </w:p>
    <w:p>
      <w:pPr>
        <w:spacing w:after="0" w:line="142"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February 2012, SAFE promulgated the Notices on Issues Concerning the Foreign Exchange Administration for Domestic Individuals Participating in Stock Incentive Plan of Overseas Publicly Listed Company, or SAFE Circular 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6" w:name="page107"/>
    <w:bookmarkEnd w:id="10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there may be additional restrictions on the ability of them to exercise their stock options or remit proceeds gained from the sale of their stock into the PRC. In addition, relevant laws and regulations and their interpretation may change from time to time and there is uncertainty with respect to their implementation, which may restrict our ability to adopt additional incentive plans for our directors, executive officers and employees under PRC law. See “Regulation — Regulations relating to Foreign Exchange Control — Regulations on Stock Incentive Plans.”</w:t>
      </w:r>
    </w:p>
    <w:p>
      <w:pPr>
        <w:spacing w:after="0" w:line="8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addition, the State Administration of Taxation, or SAT, has issued circulars concerning employee share options or restricted shares. Under these circulars, employees working in the PRC who exercise share options, or whose restricted shares or restricted share units vest, will be subject to PRC individual income tax. Our PRC subsidiaries have obligations to file documents related to employee share options or restricted shares with relevant tax authorities and to withhold individual income taxes of those employees related to their share options, restricted shares or restricted share units. In addition, the sales of the ADSs or shares held by such PRC individual employees after their exercise of the options, or the vesting of the restricted shares or restricted share units, are also subject to PRC individual income tax. If the employees fail to pay, or the PRC subsidiaries fail to withhold, their income taxes according to relevant laws, rules and regulations, the PRC subsidiaries may face sanctions imposed by the tax authorities or other PRC government authorities.</w:t>
      </w:r>
    </w:p>
    <w:p>
      <w:pPr>
        <w:spacing w:after="0" w:line="139"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8"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Notice of the State Administration of Taxation on Issues Concerning the Determination of Chinese-Controlled Enterprises Registered Overseas as Resident Enterprises on the Basis of Their Bodies of Actual Management, known as SAT Circular 82, and amended in 2017,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management and core management departments in charge of its daily operations function have their presence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habitually reside in the PRC. Further to SAT Circular 82, the SAT issued the Public Announcement of State Administration of Taxation on Promulgation of the Administrative Measures on Income Tax on Overseas Registered Chinese -funded Holding Resident Enterprises (Trial Implementation), or SAT Bulletin 45, which took effect in September 2011 and was</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7" w:name="page108"/>
    <w:bookmarkEnd w:id="10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last amended in June 2018, to provide more guidance on the implementation of SAT Circular 82. SAT Bulletin 45 provides for procedures and administration details of determination on resident status and administration on post-determination matters.</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we or the relevant offshore subsidiaries will be subject to PRC enterprise income on our worldwide income at the rate of 25%. Furthermore, we will be required to withhold a 10% withholding tax from dividends we pay to our shareholders (including our ADS holders) that are non -resident enterprises. In addition, non-resident enterprise shareholders (including our ADS holders) may be subject to PRC tax at a rate of 10% on gains realized on the sale or other disposition of ADSs or Class A ordinary shares, if such gain is treated as derived from a PRC source. Furthermore, if we are deemed a PRC resident enterprise, dividends paid to our non-PRC individual shareholders (including our ADS holders) and any gain realized on the sale or other disposition of ADSs or Class A ordinary shares by such shareholders (including ADS holders) may be subject to PRC tax at a rate of 20% (which in the case of dividends may be withheld at source). These rates may be reduced by an applicable tax treaty, but it is unclear whether non-PRC shareholders (including ADS holders) of our company would, in practice, be able to obtain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4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may be held liable for non-compliance with applicable rules and regulations concerning indirect transfers of equity interests in PRC resident enterprises by their non-PRC holding companies.</w:t>
      </w:r>
    </w:p>
    <w:p>
      <w:pPr>
        <w:spacing w:after="0" w:line="6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October 17, 2017, the SAT issued the Public Notice on Issues Relating to Withholding at Source of Income Tax of Non-resident Enterprises, or SAT Bulletin 37, which came into effect on December 1, 2017. The SAT Bulletin 37 further clarifies the practice and procedure of the withholding of non-resident enterprise income tax.</w:t>
      </w:r>
    </w:p>
    <w:p>
      <w:pPr>
        <w:spacing w:after="0" w:line="7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8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may be held liable for non-compliance with applicable rules and regulations concerning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8" w:name="page109"/>
    <w:bookmarkEnd w:id="10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bulletins, or to establish that our company should not be taxed under these bulletins, which may have a material adverse effect on our financial condition and results of operations.</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Regulation of information disseminated over the internet in China may adversely affect our business and reputation and subject us to liability for information displayed on our website.</w:t>
      </w:r>
    </w:p>
    <w:p>
      <w:pPr>
        <w:spacing w:after="0" w:line="52"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information displayed on or linked to the websites. If our online platform or the content on such platform is found to be in violation of any such requirements, we may be penalized by relevant authorities, and our operations or reputation could be adversely affected.</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It may be difficult for overseas regulators to conduct investigation or collect evidence within China.</w:t>
      </w:r>
    </w:p>
    <w:p>
      <w:pPr>
        <w:spacing w:after="0" w:line="21"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Due to differences in laws and regulations between China and the United States, shareholder claims or regulatory investigation that are common in the United States may be difficult to pursue and enforce as a matter of law or practicality in China. For example, in China, there are legal and other challenges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a mutual and practical cooperation mechanism. Furthermore, according to Article 177 of the PRC Securities Law, or Article 177, which was last amended in December 2019 and became effective in March 2020, no overseas securities regulator is allowed to directly conduct investigation or evidence collection activities within the territory of the PRC. The inability for an overseas securities regulator to directly conduct investigation or evidence collection activities within China may further increase difficulties faced by you in protecting your interests.</w:t>
      </w:r>
    </w:p>
    <w:p>
      <w:pPr>
        <w:spacing w:after="0" w:line="133"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Risks Related to the ADSs and This Offering</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An active trading market for our Class A ordinary shares or the ADSs may not develop and the trading price for the ADSs may fluctuate significantly.</w:t>
      </w:r>
    </w:p>
    <w:p>
      <w:pPr>
        <w:spacing w:after="0" w:line="21"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We will apply to list our ADSs on Nasdaq.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09" w:name="page110"/>
    <w:bookmarkEnd w:id="10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will incur additional costs as a result of being a public company, particularly after we cease to qualify as an emerging growth company.</w:t>
      </w:r>
    </w:p>
    <w:p>
      <w:pPr>
        <w:spacing w:after="0" w:line="21"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Upon completion of this offering, we will become a public company and expect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w:t>
      </w:r>
    </w:p>
    <w:p>
      <w:pPr>
        <w:spacing w:after="0" w:line="6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When we cease to be an “emerging growth company,” we will incur and expect to continue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w:t>
      </w:r>
    </w:p>
    <w:p>
      <w:pPr>
        <w:spacing w:after="0" w:line="139"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You must rely on the judgment of our management as to the use of the net proceeds from this offering, and such use may not produce income or increase our ADS price.</w:t>
      </w:r>
    </w:p>
    <w:p>
      <w:pPr>
        <w:spacing w:after="0" w:line="5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4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trading price of the ADSs is likely to be volatile, which could result in substantial losses to investors.</w:t>
      </w:r>
    </w:p>
    <w:p>
      <w:pPr>
        <w:spacing w:after="0" w:line="3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76" w:lineRule="exact"/>
        <w:rPr>
          <w:sz w:val="20"/>
          <w:szCs w:val="20"/>
          <w:color w:val="auto"/>
        </w:rPr>
      </w:pPr>
    </w:p>
    <w:p>
      <w:pPr>
        <w:ind w:left="1800" w:hanging="136"/>
        <w:spacing w:after="0"/>
        <w:tabs>
          <w:tab w:leader="none" w:pos="1800" w:val="left"/>
        </w:tabs>
        <w:numPr>
          <w:ilvl w:val="0"/>
          <w:numId w:val="45"/>
        </w:numPr>
        <w:rPr>
          <w:rFonts w:ascii="Arial" w:cs="Arial" w:eastAsia="Arial" w:hAnsi="Arial"/>
          <w:sz w:val="11"/>
          <w:szCs w:val="11"/>
          <w:color w:val="auto"/>
        </w:rPr>
      </w:pPr>
      <w:r>
        <w:rPr>
          <w:rFonts w:ascii="Arial" w:cs="Arial" w:eastAsia="Arial" w:hAnsi="Arial"/>
          <w:sz w:val="14"/>
          <w:szCs w:val="14"/>
          <w:color w:val="auto"/>
        </w:rPr>
        <w:t>variations in our revenues, earnings and cash flows;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783" w:val="left"/>
        </w:tabs>
        <w:numPr>
          <w:ilvl w:val="0"/>
          <w:numId w:val="45"/>
        </w:numPr>
        <w:rPr>
          <w:rFonts w:ascii="Arial" w:cs="Arial" w:eastAsia="Arial" w:hAnsi="Arial"/>
          <w:sz w:val="11"/>
          <w:szCs w:val="11"/>
          <w:color w:val="auto"/>
        </w:rPr>
      </w:pPr>
      <w:r>
        <w:rPr>
          <w:rFonts w:ascii="Arial" w:cs="Arial" w:eastAsia="Arial" w:hAnsi="Arial"/>
          <w:sz w:val="14"/>
          <w:szCs w:val="14"/>
          <w:color w:val="auto"/>
        </w:rPr>
        <w:t>announcements of new investments, acquisitions, strategic partnerships or joint ventures by us or our competitors;</w:t>
      </w:r>
    </w:p>
    <w:p>
      <w:pPr>
        <w:spacing w:after="0" w:line="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0" w:name="page111"/>
    <w:bookmarkEnd w:id="11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ind w:left="1780" w:hanging="116"/>
        <w:spacing w:after="0"/>
        <w:tabs>
          <w:tab w:leader="none" w:pos="1780" w:val="left"/>
        </w:tabs>
        <w:numPr>
          <w:ilvl w:val="0"/>
          <w:numId w:val="46"/>
        </w:numPr>
        <w:rPr>
          <w:rFonts w:ascii="Arial" w:cs="Arial" w:eastAsia="Arial" w:hAnsi="Arial"/>
          <w:sz w:val="11"/>
          <w:szCs w:val="11"/>
          <w:color w:val="auto"/>
        </w:rPr>
      </w:pPr>
      <w:r>
        <w:rPr>
          <w:rFonts w:ascii="Arial" w:cs="Arial" w:eastAsia="Arial" w:hAnsi="Arial"/>
          <w:sz w:val="14"/>
          <w:szCs w:val="14"/>
          <w:color w:val="auto"/>
        </w:rPr>
        <w:t>announcements of new offerings, solutions and expansions by us or our competitors;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changes in financial estimates by securities analysts;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detrimental adverse publicity about us, our services or our industry;</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announcements of new regulations, rules or policies relevant to our business;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additions or departures of key personnel;</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46"/>
        </w:numPr>
        <w:rPr>
          <w:rFonts w:ascii="Arial" w:cs="Arial" w:eastAsia="Arial" w:hAnsi="Arial"/>
          <w:sz w:val="11"/>
          <w:szCs w:val="11"/>
          <w:color w:val="auto"/>
        </w:rPr>
      </w:pPr>
      <w:r>
        <w:rPr>
          <w:rFonts w:ascii="Arial" w:cs="Arial" w:eastAsia="Arial" w:hAnsi="Arial"/>
          <w:sz w:val="14"/>
          <w:szCs w:val="14"/>
          <w:color w:val="auto"/>
        </w:rPr>
        <w:t>release of lock-up or other transfer restrictions on our outstanding equity securities or sales of additional equity securities; and</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46"/>
        </w:numPr>
        <w:rPr>
          <w:rFonts w:ascii="Arial" w:cs="Arial" w:eastAsia="Arial" w:hAnsi="Arial"/>
          <w:sz w:val="11"/>
          <w:szCs w:val="11"/>
          <w:color w:val="auto"/>
        </w:rPr>
      </w:pPr>
      <w:r>
        <w:rPr>
          <w:rFonts w:ascii="Arial" w:cs="Arial" w:eastAsia="Arial" w:hAnsi="Arial"/>
          <w:sz w:val="14"/>
          <w:szCs w:val="14"/>
          <w:color w:val="auto"/>
        </w:rPr>
        <w:t>potential litigation or regulatory investigations.</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Any of these factors may result in large and sudden changes in the volume and price at which the ADSs will trade.</w:t>
      </w:r>
    </w:p>
    <w:p>
      <w:pPr>
        <w:spacing w:after="0" w:line="62"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7"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Because our initial public offering price is substantially higher than our net tangible book value per share, you will experience immediate and substantial dilution.</w:t>
      </w:r>
    </w:p>
    <w:p>
      <w:pPr>
        <w:spacing w:after="0" w:line="41"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If you purchase ADSs in this offering, you will pay more for the ADSs than the amount paid by our existing shareholders for their ordinary shares on a per ADS basis. As a result, you will experience immediate and substantial dilution of approximately US$16.24 per ADS, representing the difference between the initial public offering price of US$17.0 per ADS, and our net tangible book value per ADS as of December 31, 2025, after giving effect to the net proceeds we receive from this offering. In addition, holders of our ADSs may experience further dilution of their interest if we issue additional shares in the future to raise additional capital. For a more complete description of how the value of your investment in the ADSs will be diluted upon the completion of this offering, see “Dilution.”</w:t>
      </w:r>
    </w:p>
    <w:p>
      <w:pPr>
        <w:spacing w:after="0" w:line="127"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3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68"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Our authorized and issued ordinary shares are divided into Class A ordinary shares and Class B ordinary shares. Holders of Class A ordinary shares will be entitled to one vote per share, while the holder of Class B ordinary shares will be entitled to 10 votes per share. We will issue Class A ordinary</w:t>
      </w:r>
    </w:p>
    <w:p>
      <w:pPr>
        <w:spacing w:after="0" w:line="7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1" w:name="page112"/>
    <w:bookmarkEnd w:id="11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shares represented by the ADSs in this offering. Each Class B ordinary share is convertible into an equal number of Class A ordinary shares at any time by the holders thereof, while Class A ordinary shares are not convertible into Class B ordinary shares under any circumstances.</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Upon the completion of this offering and assuming that the underwriters do not exercise their option to purchase additional ADSs, Mr. Junhong Yao, our founder, director and chief executive officer, will beneficially own 331,292,603 Class B ordinary shares and 93,435,380 Class A ordinary shares. Mr. Junhong Yao will beneficially own approximately 42.2% of our total issued and outstanding share capital immediately after the completion of this offering and 85.4% of the aggregate voting power of our total issued and outstanding share capital immediately after the completion of this offering due to the disparate voting powers associated with our dual-class share structure, assuming the underwriters do not exercise their option to purchase additional ADSs. As a result of the dual-class share structure and the concentration of ownership, the holder of Class B ordinary shares will have considerable influence over matters such as decisions regarding mergers and consolidations, election of directors, and other significant corporate actions. Such holders may take actions that are not in the best interests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dual-class structure of our ordinary shares may adversely affect the trading market for the ADSs.</w:t>
      </w:r>
    </w:p>
    <w:p>
      <w:pPr>
        <w:spacing w:after="0" w:line="52"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Certain shareholder advisory firms and index providers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and any actions or publications by shareholder advisory firms critical of our corporate governance practices or capital structure could adversely affect the value of the ADSs.</w:t>
      </w:r>
    </w:p>
    <w:p>
      <w:pPr>
        <w:spacing w:after="0" w:line="133"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Upon the completion of this offering, we will be a “controlled company” as defined under the Nasdaq listing rules. As a result, we will qualify for, and intend to rely on, exemptions from certain corporate governance requirements that would otherwise provide protection to shareholders of other companies.</w:t>
      </w:r>
    </w:p>
    <w:p>
      <w:pPr>
        <w:spacing w:after="0" w:line="41"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Following the completion of this offering, we will be a “controlled company” as defined under the Nasdaq listing rules because Mr. Junhong Yao will own more than 50% of our total voting power. For so long as we remain a controlled company, we may rely on certain exemptions from the listing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 We are a foreign private issuer within the meaning of the rules under the Exchange Act, and as such we are exempt from certain provisions applicable to U.S. domestic public companies” and “— 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2" w:name="page113"/>
    <w:bookmarkEnd w:id="11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2"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The sale or availability for sale of substantial amounts of ADSs could adversely affect their market price.</w:t>
      </w:r>
    </w:p>
    <w:p>
      <w:pPr>
        <w:spacing w:after="0" w:line="21"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Sales of substantial amounts of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In addition, shares held by our existing shareholders, including those held by our founder and principal shareholders, may also be sold in the public market in the future, subject to the restrictions in Rule 144 and Rule 701 under the Securities Act and the applicable lock-up agreements. There will be 3,000,000 ADSs (representing 60,000,000 Class A ordinary shares) issued and outstanding immediately after this offering, or 3,450,000 ADSs (representing 69,000,000 Class A ordinary shares) if the underwriters exercise their option to purchase additional ADSs in full. In connection with this offering, we, our directors, executive officers, existing shareholders and holders of share-based awards have agreed, subject to certain exceptions, not to sell any ordinary shares or ADSs for 180 days.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For a more detailed description of the restrictions on selling our securities after this offering, see “Underwriting” and “Shares Eligible for Future Sale.”</w:t>
      </w:r>
    </w:p>
    <w:p>
      <w:pPr>
        <w:spacing w:after="0" w:line="5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After completion of this offering, certain holders of our Class A ordinary shares may cause us to register under the Securities Act the sale of their shares, subject to the 180-day lock-up period in connection with this offering. See “Description of Share Capital — Shareholders Agreement — Registration Rights.” Registration of these shares under the Securities Act would result in ADSs representing these shares becoming freely tradable without restriction under the Securities Act immediately upon the effectiveness of such registration. Sales of these registered shares in the form of ADSs in the public market could cause the price of our ADSs to decline.</w:t>
      </w:r>
    </w:p>
    <w:p>
      <w:pPr>
        <w:spacing w:after="0" w:line="55"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Promptly after the completion of this offering, we intend to file one or more registration statements with the SEC on Form S-8 to register ordinary shares reserved for future issuance under our equity incentive plan. The registration statement on Form S-8 is expected to become effective immediately upon filing and, subject to the satisfaction of vesting conditions, the ordinary shares covered by the registration statement will then become eligible for sale in the public market, subject to the Rule 144 limitations applicable to affiliates. Furthermore, following the completion of this offering, we may issue additional ordinary shares or convertible securities in public offerings or as consideration for acquisitions. We cannot predict the size of future issuances of our ordinary shares or securities convertible into ordinary shares or the effect, if any, that future issuances and sales of our ordinary shares will have on the market price of our ordinary shares. Sales of substantial amounts of our ordinary shares (including shares issued in connection with an acquisition), or the perception that such sales could occur, may adversely affect prevailing market prices of our ordinary shares. See “Shares Eligible for Future Sale.”</w:t>
      </w:r>
    </w:p>
    <w:p>
      <w:pPr>
        <w:spacing w:after="0" w:line="111"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Techniques employed by short sellers may drive down the market price of the ADSs.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3" w:name="page114"/>
    <w:bookmarkEnd w:id="11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Public companies that have substantially all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6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41"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Because we do not expect to pay dividends in the foreseeable future after this offering, you must rely on a price appreciation of the ADSs for a return on your investment.</w:t>
      </w:r>
    </w:p>
    <w:p>
      <w:pPr>
        <w:spacing w:after="0" w:line="4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5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the Company being unable to pay its debts as they fall due in the ordinary course of business.</w:t>
      </w:r>
    </w:p>
    <w:p>
      <w:pPr>
        <w:spacing w:after="0" w:line="65"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the ADSs and you may even lose your entire investment in the ADSs.</w:t>
      </w:r>
    </w:p>
    <w:p>
      <w:pPr>
        <w:spacing w:after="0" w:line="141"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filing, approval or other administration requirements of the China Securities Regulatory Commission or other PRC regulatory agencies may be required in connection with this offering under PRC law.</w:t>
      </w:r>
    </w:p>
    <w:p>
      <w:pPr>
        <w:spacing w:after="0" w:line="58"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are subject to further clarification from regulators. In the past, companies that are controlled by PRC individuals with their operations primarily in the PRC had been able to complete overseas listings without CSRC approval through a restructuring process. Such a</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4" w:name="page115"/>
    <w:bookmarkEnd w:id="11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process was intended to avoid direct application of the M&amp;A Rules, although there is uncertainty on whether the M&amp;A Rules shall nonetheless apply. If the CSRC approval under the M&amp;A rules is required, it is uncertain how long it will take for us to obtain such approval, and any failure to obtain or a delay in obtaining CSRC approval for this offering may subject us to sanctions imposed by the CSRC and other PRC regulatory agencies.</w:t>
      </w:r>
    </w:p>
    <w:p>
      <w:pPr>
        <w:spacing w:after="0" w:line="63"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PRC legal advisor has advised us that, based on its understanding of the current PRC laws and regulations, we will not be required to submit an application to the CSRC for its approval of this offering and the listing and trading of the ADSs on Nasdaq under the M&amp;A Rules because the CSRC currently has not issued any definitive rule or interpretation concerning whether offerings like ours under this prospectus are subject to this regulation. However, our PRC legal advisor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advisor.</w:t>
      </w:r>
    </w:p>
    <w:p>
      <w:pPr>
        <w:spacing w:after="0" w:line="8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Furthermore, numerous regulations, guidelines and other measures have been or are expected to be adopted under the umbrella of or in addition to the Cybersecurity Law, Data Security Law and Personal Information Protection Law, including the following: (i) the amended Cybersecurity Review Measures published on December 28, 2021, which came into effect on February 15, 2022, provide that a “network platform operator” that possesses personal information of more than one million users and seeks a listing in a foreign country must apply for a cybersecurity review; and (ii) the Measures for the Security Assessment of Cross-border Data Transfer, which came into effect on September 1, 2022, provide that certain types of data processors transferring important data or personal information collected and generated during operations within the territory of the PRC to an overseas recipient must apply for security assessment of cross-border data transfer.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88"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February 17, 2023, the CSRC promulgated Trial Administrative Measures of the Overseas Securities Offering and Listing by Domestic Companies, along with five supporting guidelines. These regulations became effective on March 31, 2023. According to the New Overseas Listing Rules, PRC domestic companies that seek to offer and list securities in overseas markets, either through direct or indirect means, are required to complete the filing procedure with the CSRC. The New Overseas Listing Rules provide that if the issuer meets the following criteria at the same time, the overseas securities offering and listing conducted by such issuer will be deemed as an indirect overseas offering that is subject to the filing procedures as set forth under the New Overseas Listing Rules:</w:t>
      </w:r>
    </w:p>
    <w:p>
      <w:pPr>
        <w:spacing w:after="0" w:line="2" w:lineRule="exact"/>
        <w:rPr>
          <w:sz w:val="20"/>
          <w:szCs w:val="20"/>
          <w:color w:val="auto"/>
        </w:rPr>
      </w:pPr>
    </w:p>
    <w:p>
      <w:pPr>
        <w:jc w:val="both"/>
        <w:ind w:left="1420" w:right="1398" w:hanging="5"/>
        <w:spacing w:after="0" w:line="233" w:lineRule="auto"/>
        <w:tabs>
          <w:tab w:leader="none" w:pos="1628" w:val="left"/>
        </w:tabs>
        <w:numPr>
          <w:ilvl w:val="0"/>
          <w:numId w:val="47"/>
        </w:numPr>
        <w:rPr>
          <w:rFonts w:ascii="Arial" w:cs="Arial" w:eastAsia="Arial" w:hAnsi="Arial"/>
          <w:sz w:val="14"/>
          <w:szCs w:val="14"/>
          <w:color w:val="auto"/>
        </w:rPr>
      </w:pPr>
      <w:r>
        <w:rPr>
          <w:rFonts w:ascii="Arial" w:cs="Arial" w:eastAsia="Arial" w:hAnsi="Arial"/>
          <w:sz w:val="14"/>
          <w:szCs w:val="14"/>
          <w:color w:val="auto"/>
        </w:rPr>
        <w:t>50% or more of the issuer’s operating revenue, total profit, total assets or net assets as documented in its audited combined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operations and management are mostly Chinese citizens or domiciled in mainland China. According to the New Overseas Listing Rules, with respect to this offering, we shall file with the CSRC within three business days after our initial submission of the registration statement to the SEC for its nonpublic review, and we shall report to the CSRC within three business days after our first public filing of the registration statement with the SEC. The New Overseas Listing Rules also require us to report to the CSRC upon the completion of this offering. We have completed the filing procedure with the CSRC for this offering, and the CSRC has concluded the filing procedure and published the filing results on the CSRC website on April 24, 2026. Pursuant to the CSRC filing notification, we shall inform CSRC about our completed offering within 15 working days thereof. As of the date of this prospectus, we have not been denied for or failed to complete any permissions, approvals or filings required from Chinese authorities to offer the securities being registered to foreign investors in this offering. Therefore, we believe we have</w:t>
      </w:r>
    </w:p>
    <w:p>
      <w:pPr>
        <w:spacing w:after="0" w:line="10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5" w:name="page116"/>
    <w:bookmarkEnd w:id="11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obtained all requisite permissions and approvals from, and completed all necessary filings with, the competent Chinese authorities as are explicitly required under currently effective PRC laws, regulations and rules currently in effect for the commencement of this offering.</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Moreover, the New Overseas Listing Rules mandate that overseas-listed issuers conducting follow-on securities offerings in the same overseas market must file with the CSRC within three business days after the completion of such offering and file with the CSRC for its offerings or listing in an offshore stock market other than the stock market of its initial public offering or listing within three business days after the submission of an offering application outside mainland China. Additionally, issuers listed overseas are required to report “material events” to the CSRC within three business days following the occurrence and public announcement of such events. These material events include change of control, voluntary delisting or being ordered to delist, and investigations or penalties by overseas securities regulatory bodies, among other things.</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February 24, 2023, the CSRC, together with other governmental authorities, released the Provisions on Strengthening the Confidentiality and Archives Administration Related to the Overseas Securities Offering and Listing by Domestic Enterprises, or the Confidentiality and Archives Administration Provisions, which became effective on March 31, 2023. The Confidentiality and Archives Administration Provisions are designed to expand the applicable scope of the regulation to indirect overseas offerings and listings by PRC domestic companies with an emphasis on the confidentiality and archive management duties of PRC domestic companies during the process of overseas offerings and listings. Pursuant to the Confidentiality and Archives Administration Provisions, the domestic companies,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during such inspection and investigation. As the Confidentiality and Archives Administration Provisions are relatively new, there are substantial uncertainties with respect to their interpretation and implementation.</w:t>
      </w:r>
    </w:p>
    <w:p>
      <w:pPr>
        <w:spacing w:after="0" w:line="6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Failure to fulfill these obligations to make timely filings or reports to the CSRC may result in fines, legal or administrative sanctions and other adverse consequences and could materially and adversely affect our ability to raise funds in overseas markets. Furthermore, we cannot guarantee that future rules or regulations will not impose additional or more stringent requirements regarding necessary approvals or filings with the CSRC or other PRC regulatory agencies concerning our financing activities.</w:t>
      </w:r>
    </w:p>
    <w:p>
      <w:pPr>
        <w:spacing w:after="0" w:line="13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31"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We are an exempted company with limited liability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In addition, while under Delaware law, controlling shareholders owe fiduciary duties to the companies they control and their minority shareholders, under Cayman Islands law, our controlling shareholders</w:t>
      </w:r>
    </w:p>
    <w:p>
      <w:pPr>
        <w:spacing w:after="0" w:line="25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6" w:name="page117"/>
    <w:bookmarkEnd w:id="11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the Company as a whole.</w:t>
      </w:r>
    </w:p>
    <w:p>
      <w:pPr>
        <w:spacing w:after="0" w:line="6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Shareholders of Cayman Islands exempted companies like us have no general rights under Cayman Islands law to inspect corporate records (other than the memorandum and articles of association, special resolutions which have been passed by shareholders, register of mortgages and charges, and a list of current directors)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77"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43"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 — Differences in Corporate Law.”</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Certain judgments obtained against us by our shareholders may not be enforceable.</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are an exempted company limited by shares incorporated under the laws of the Cayman Islands and substantially all of our assets are located outside of the United States.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142" w:lineRule="exact"/>
        <w:rPr>
          <w:sz w:val="20"/>
          <w:szCs w:val="20"/>
          <w:color w:val="auto"/>
        </w:rPr>
      </w:pPr>
    </w:p>
    <w:p>
      <w:pPr>
        <w:jc w:val="both"/>
        <w:ind w:left="1420" w:right="1398"/>
        <w:spacing w:after="0" w:line="314" w:lineRule="auto"/>
        <w:rPr>
          <w:sz w:val="20"/>
          <w:szCs w:val="20"/>
          <w:color w:val="auto"/>
        </w:rPr>
      </w:pPr>
      <w:r>
        <w:rPr>
          <w:rFonts w:ascii="Arial" w:cs="Arial" w:eastAsia="Arial" w:hAnsi="Arial"/>
          <w:sz w:val="13"/>
          <w:szCs w:val="13"/>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for any claim they may have against us or the depositary arising out of or relating to our Class A ordinary shares, the ADSs or the deposit agreement, including any claim under the U.S. federal securities laws.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7" w:name="page118"/>
    <w:bookmarkEnd w:id="11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If we or the depositary opposed a jury trial demand based on this waiver, the court would determine whether the waiver was enforceable based on the facts and circumstances of that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5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If you or any other holders or beneficial owners of ADSs bring a claim against us or the depositary in connection with matters arising under the deposit agreement or the ADSs, including claims under federal securities laws, you or such other holders or beneficial owners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53"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Nevertheless, if this jury trial waiver provision is not enforced, to the extent a court action proceeds, it would proceed under the terms of the deposit agreement with a jury trial. No condition, stipulation or provision of the deposit agreement or the ADSs shall relieve us or the depositary from our respective obligations to comply with the Securities Act or the Exchange Act.</w:t>
      </w:r>
    </w:p>
    <w:p>
      <w:pPr>
        <w:spacing w:after="0" w:line="133"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Your rights to pursue claims against the depositary as a holder of ADSs are limited by the terms of the deposit agreement.</w:t>
      </w:r>
    </w:p>
    <w:p>
      <w:pPr>
        <w:spacing w:after="0" w:line="4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the Securities Act or the Exchange Act in state or federal courts. See “Description of American Depositary Shares” for more information.</w:t>
      </w:r>
    </w:p>
    <w:p>
      <w:pPr>
        <w:spacing w:after="0" w:line="138"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The voting rights of holders of ADSs are limited by the terms of the deposit agreement, and you may not be able to exercise your right to direct the voting of the Class A ordinary shares underlying the ADSs.</w:t>
      </w:r>
    </w:p>
    <w:p>
      <w:pPr>
        <w:spacing w:after="0" w:line="6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an exempted company incorporated in the Cayman Islands, we are not obliged by the Companies Act (As Revised) to call shareholders’ annual general meetings. Our fourth amended and restated memorandum and articles of association provide that we may (but are not obliged to) each year hold a general meeting as our annual general meeting. Holders of ADSs do not have the same rights as our shareholders. As a holder of ADSs, you will not have any direct right to attend general meetings of our company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8" w:name="page119"/>
    <w:bookmarkEnd w:id="11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2" w:lineRule="auto"/>
        <w:rPr>
          <w:sz w:val="20"/>
          <w:szCs w:val="20"/>
          <w:color w:val="auto"/>
        </w:rPr>
      </w:pPr>
      <w:r>
        <w:rPr>
          <w:rFonts w:ascii="Arial" w:cs="Arial" w:eastAsia="Arial" w:hAnsi="Arial"/>
          <w:sz w:val="13"/>
          <w:szCs w:val="13"/>
          <w:color w:val="auto"/>
        </w:rPr>
        <w:t>the depositary, as holder of the Class A ordinary shares underlying the ADSs. Upon receipt of your voting instructions, the depositary may try to vote the Class A ordinary shares underlying the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Class A ordinary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the ADSs are voted and you may have no legal remedy if the Class A ordinary shares underlying the ADSs are not voted as you requested.</w:t>
      </w:r>
    </w:p>
    <w:p>
      <w:pPr>
        <w:spacing w:after="0" w:line="289"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Holders of the ADSs may not receive cash dividends if the depositary decides it is impractical to make them available to such holders.</w:t>
      </w:r>
    </w:p>
    <w:p>
      <w:pPr>
        <w:spacing w:after="0" w:line="52"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holders of the ADSs the cash dividends or other distributions it or the custodian receives on our ordinary shares or other deposited securities after deducting its fees and expenses. Holders of the ADSs will receive these distributions in proportion to the number of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the ADSs.</w:t>
      </w:r>
    </w:p>
    <w:p>
      <w:pPr>
        <w:spacing w:after="0" w:line="144"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You may experience dilution of your holdings due to the inability to participate in rights offerings.</w:t>
      </w:r>
    </w:p>
    <w:p>
      <w:pPr>
        <w:spacing w:after="0" w:line="52"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19" w:name="page120"/>
    <w:bookmarkEnd w:id="11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47" w:lineRule="auto"/>
        <w:rPr>
          <w:sz w:val="20"/>
          <w:szCs w:val="20"/>
          <w:color w:val="auto"/>
        </w:rPr>
      </w:pPr>
      <w:r>
        <w:rPr>
          <w:rFonts w:ascii="Arial" w:cs="Arial" w:eastAsia="Arial" w:hAnsi="Arial"/>
          <w:sz w:val="14"/>
          <w:szCs w:val="14"/>
          <w:b w:val="1"/>
          <w:bCs w:val="1"/>
          <w:i w:val="1"/>
          <w:iCs w:val="1"/>
          <w:color w:val="auto"/>
        </w:rPr>
        <w:t>The post-offering amended and restated memorandum and articles of association that we will adopt and will become effective immediately prior to the completion of this offering contain anti-takeover provisions that could discourage a third party from acquiring us and adversely affect the rights of holders of our ordinary shares and ADSs.</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Our post-offering amended and restated memorandum and articles of association contain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41"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You may be subject to limitations on the transfer of the ADSs.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40" w:lineRule="exact"/>
        <w:rPr>
          <w:sz w:val="20"/>
          <w:szCs w:val="20"/>
          <w:color w:val="auto"/>
        </w:rPr>
      </w:pPr>
    </w:p>
    <w:p>
      <w:pPr>
        <w:jc w:val="both"/>
        <w:ind w:left="1420" w:right="1398"/>
        <w:spacing w:after="0" w:line="277" w:lineRule="auto"/>
        <w:rPr>
          <w:sz w:val="20"/>
          <w:szCs w:val="20"/>
          <w:color w:val="auto"/>
        </w:rPr>
      </w:pPr>
      <w:r>
        <w:rPr>
          <w:rFonts w:ascii="Arial" w:cs="Arial" w:eastAsia="Arial" w:hAnsi="Arial"/>
          <w:sz w:val="14"/>
          <w:szCs w:val="14"/>
          <w:b w:val="1"/>
          <w:bCs w:val="1"/>
          <w:i w:val="1"/>
          <w:iCs w:val="1"/>
          <w:color w:val="auto"/>
        </w:rPr>
        <w:t>We are an emerging growth company within the meaning of the Securities Act and may take advantage of certain reduced reporting requirements.</w:t>
      </w:r>
    </w:p>
    <w:p>
      <w:pPr>
        <w:spacing w:after="0" w:line="52"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 -Oxley Act of 2002 for so long as we remain an emerging growth company. As a result, if we elect not to comply with such auditor attestation requirements, our investors may not have access to certain information they may deem important.</w:t>
      </w:r>
    </w:p>
    <w:p>
      <w:pPr>
        <w:spacing w:after="0" w:line="62"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 and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entitled to the exemptions provided in the JOBS Act discussed above.</w:t>
      </w:r>
    </w:p>
    <w:p>
      <w:pPr>
        <w:spacing w:after="0" w:line="128" w:lineRule="exact"/>
        <w:rPr>
          <w:sz w:val="20"/>
          <w:szCs w:val="20"/>
          <w:color w:val="auto"/>
        </w:rPr>
      </w:pPr>
    </w:p>
    <w:p>
      <w:pPr>
        <w:jc w:val="both"/>
        <w:ind w:left="1420" w:right="1398"/>
        <w:spacing w:after="0" w:line="316" w:lineRule="auto"/>
        <w:rPr>
          <w:sz w:val="20"/>
          <w:szCs w:val="20"/>
          <w:color w:val="auto"/>
        </w:rPr>
      </w:pPr>
      <w:r>
        <w:rPr>
          <w:rFonts w:ascii="Arial" w:cs="Arial" w:eastAsia="Arial" w:hAnsi="Arial"/>
          <w:sz w:val="13"/>
          <w:szCs w:val="13"/>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5" w:lineRule="exact"/>
        <w:rPr>
          <w:sz w:val="20"/>
          <w:szCs w:val="20"/>
          <w:color w:val="auto"/>
        </w:rPr>
      </w:pPr>
    </w:p>
    <w:p>
      <w:pPr>
        <w:jc w:val="both"/>
        <w:ind w:left="1800" w:right="1398" w:hanging="136"/>
        <w:spacing w:after="0" w:line="251" w:lineRule="auto"/>
        <w:tabs>
          <w:tab w:leader="none" w:pos="1804" w:val="left"/>
        </w:tabs>
        <w:numPr>
          <w:ilvl w:val="0"/>
          <w:numId w:val="48"/>
        </w:numPr>
        <w:rPr>
          <w:rFonts w:ascii="Arial" w:cs="Arial" w:eastAsia="Arial" w:hAnsi="Arial"/>
          <w:sz w:val="11"/>
          <w:szCs w:val="11"/>
          <w:color w:val="auto"/>
        </w:rPr>
      </w:pPr>
      <w:r>
        <w:rPr>
          <w:rFonts w:ascii="Arial" w:cs="Arial" w:eastAsia="Arial" w:hAnsi="Arial"/>
          <w:sz w:val="14"/>
          <w:szCs w:val="14"/>
          <w:color w:val="auto"/>
        </w:rPr>
        <w:t>the rules under the Exchange Act requiring the filing with the SEC of quarterly reports on Form 10-Q, quarterly certifications by the principal executive and financial officers or current reports on Form 8-K;</w:t>
      </w:r>
    </w:p>
    <w:p>
      <w:pPr>
        <w:spacing w:after="0" w:line="75" w:lineRule="exact"/>
        <w:rPr>
          <w:rFonts w:ascii="Arial" w:cs="Arial" w:eastAsia="Arial" w:hAnsi="Arial"/>
          <w:sz w:val="11"/>
          <w:szCs w:val="11"/>
          <w:color w:val="auto"/>
        </w:rPr>
      </w:pPr>
    </w:p>
    <w:p>
      <w:pPr>
        <w:ind w:left="1800" w:right="1398" w:hanging="136"/>
        <w:spacing w:after="0" w:line="271" w:lineRule="auto"/>
        <w:tabs>
          <w:tab w:leader="none" w:pos="1783" w:val="left"/>
        </w:tabs>
        <w:numPr>
          <w:ilvl w:val="0"/>
          <w:numId w:val="48"/>
        </w:numPr>
        <w:rPr>
          <w:rFonts w:ascii="Arial" w:cs="Arial" w:eastAsia="Arial" w:hAnsi="Arial"/>
          <w:sz w:val="11"/>
          <w:szCs w:val="11"/>
          <w:color w:val="auto"/>
        </w:rPr>
      </w:pPr>
      <w:r>
        <w:rPr>
          <w:rFonts w:ascii="Arial" w:cs="Arial" w:eastAsia="Arial" w:hAnsi="Arial"/>
          <w:sz w:val="14"/>
          <w:szCs w:val="14"/>
          <w:color w:val="auto"/>
        </w:rPr>
        <w:t>the sections of the Exchange Act regulating the solicitation of proxies, consents or authorizations in respect of a security registered under the Exchange Act;</w:t>
      </w:r>
    </w:p>
    <w:p>
      <w:pPr>
        <w:spacing w:after="0" w:line="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0" w:name="page121"/>
    <w:bookmarkEnd w:id="12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1" w:lineRule="auto"/>
        <w:tabs>
          <w:tab w:leader="none" w:pos="1783" w:val="left"/>
        </w:tabs>
        <w:numPr>
          <w:ilvl w:val="0"/>
          <w:numId w:val="49"/>
        </w:numPr>
        <w:rPr>
          <w:rFonts w:ascii="Arial" w:cs="Arial" w:eastAsia="Arial" w:hAnsi="Arial"/>
          <w:sz w:val="11"/>
          <w:szCs w:val="11"/>
          <w:color w:val="auto"/>
        </w:rPr>
      </w:pPr>
      <w:r>
        <w:rPr>
          <w:rFonts w:ascii="Arial" w:cs="Arial" w:eastAsia="Arial" w:hAnsi="Arial"/>
          <w:sz w:val="14"/>
          <w:szCs w:val="14"/>
          <w:color w:val="auto"/>
        </w:rPr>
        <w:t>the sections of the Exchange Act requiring beneficial owners of more than 10% of a public company’s securities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49"/>
        </w:numPr>
        <w:rPr>
          <w:rFonts w:ascii="Arial" w:cs="Arial" w:eastAsia="Arial" w:hAnsi="Arial"/>
          <w:sz w:val="10"/>
          <w:szCs w:val="10"/>
          <w:color w:val="auto"/>
        </w:rPr>
      </w:pPr>
      <w:r>
        <w:rPr>
          <w:rFonts w:ascii="Arial" w:cs="Arial" w:eastAsia="Arial" w:hAnsi="Arial"/>
          <w:sz w:val="13"/>
          <w:szCs w:val="13"/>
          <w:color w:val="auto"/>
        </w:rPr>
        <w:t>the selective disclosure rules by issuers of material nonpublic information under Regulation FD.</w:t>
      </w:r>
    </w:p>
    <w:p>
      <w:pPr>
        <w:spacing w:after="0" w:line="12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will be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63"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June 4, 2025, the SEC issued a concept release seeking public comment on potential revisions to the definition of foreign private issuer under U.S. securities laws. The concept release considers whether the current criteria, such as the thresholds for U.S. ownership, voting control, board composition and place of business, appropriately capture today’s global market realities. The SEC is evaluating whether updates are warranted to ensure consistent application of disclosure and reporting requirements under the Exchange Act and to address potential disparities between foreign private issuers and domestic issuers. If the SEC revises the definition of foreign private issuer and we no longer qualify as one, we would become subject to the same reporting and disclosure requirements that apply to U.S. domestic issuers. This change would increase our regulatory compliance burden, including the need to file periodic reports on U.S. domestic forms, prepare financial statements in accordance with U.S. GAAP, comply with U.S. proxy solicitation rules, and adhere to more extensive executive compensation and beneficial ownership disclosure obligations. Any such loss of foreign private issuer status could result in higher compliance costs, increased administrative complexity, and potential adverse effects on our investor relations and market perception.</w:t>
      </w:r>
    </w:p>
    <w:p>
      <w:pPr>
        <w:spacing w:after="0" w:line="138" w:lineRule="exact"/>
        <w:rPr>
          <w:sz w:val="20"/>
          <w:szCs w:val="20"/>
          <w:color w:val="auto"/>
        </w:rPr>
      </w:pPr>
    </w:p>
    <w:p>
      <w:pPr>
        <w:jc w:val="both"/>
        <w:ind w:left="1420" w:right="1398"/>
        <w:spacing w:after="0" w:line="243" w:lineRule="auto"/>
        <w:rPr>
          <w:sz w:val="20"/>
          <w:szCs w:val="20"/>
          <w:color w:val="auto"/>
        </w:rPr>
      </w:pPr>
      <w:r>
        <w:rPr>
          <w:rFonts w:ascii="Arial" w:cs="Arial" w:eastAsia="Arial" w:hAnsi="Arial"/>
          <w:sz w:val="14"/>
          <w:szCs w:val="14"/>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55"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As an exempted company incorporated in the Cayman Islands and listed on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We currently intend to follow Cayman Islands corporate governance practices in lieu of the corporate governance requirements of Nasdaq that listed companies must have: (i) a majority of independent directors; (ii) a nominating/corporate governance committee composed entirely of independent directors; (iii) an audit committee consisting of at least three members, all of which are independent directors; and (iv) a quorum of at least 33</w:t>
      </w:r>
      <w:r>
        <w:rPr>
          <w:rFonts w:ascii="Arial" w:cs="Arial" w:eastAsia="Arial" w:hAnsi="Arial"/>
          <w:sz w:val="15"/>
          <w:szCs w:val="15"/>
          <w:color w:val="auto"/>
          <w:vertAlign w:val="superscript"/>
        </w:rPr>
        <w:t>1</w:t>
      </w:r>
      <w:r>
        <w:rPr>
          <w:rFonts w:ascii="Arial" w:cs="Arial" w:eastAsia="Arial" w:hAnsi="Arial"/>
          <w:sz w:val="13"/>
          <w:szCs w:val="13"/>
          <w:color w:val="auto"/>
        </w:rPr>
        <w:t>/</w:t>
      </w:r>
      <w:r>
        <w:rPr>
          <w:rFonts w:ascii="Arial" w:cs="Arial" w:eastAsia="Arial" w:hAnsi="Arial"/>
          <w:sz w:val="15"/>
          <w:szCs w:val="15"/>
          <w:color w:val="auto"/>
          <w:vertAlign w:val="subscript"/>
        </w:rPr>
        <w:t>3</w:t>
      </w:r>
      <w:r>
        <w:rPr>
          <w:rFonts w:ascii="Arial" w:cs="Arial" w:eastAsia="Arial" w:hAnsi="Arial"/>
          <w:sz w:val="13"/>
          <w:szCs w:val="13"/>
          <w:color w:val="auto"/>
        </w:rPr>
        <w:t>% of the outstanding shares for shareholder meetings. To the extent that we</w:t>
      </w:r>
    </w:p>
    <w:p>
      <w:pPr>
        <w:spacing w:after="0" w:line="5"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choose to follow home country practice in the future, our shareholders may be afforded less protection than they otherwise would enjoy under Nasdaq corporate governance listing standards applicable to U.S. domestic issuers.</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1" w:name="page122"/>
    <w:bookmarkEnd w:id="12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jc w:val="both"/>
        <w:ind w:left="1420" w:right="1398"/>
        <w:spacing w:after="0" w:line="254" w:lineRule="auto"/>
        <w:rPr>
          <w:sz w:val="20"/>
          <w:szCs w:val="20"/>
          <w:color w:val="auto"/>
        </w:rPr>
      </w:pPr>
      <w:r>
        <w:rPr>
          <w:rFonts w:ascii="Arial" w:cs="Arial" w:eastAsia="Arial" w:hAnsi="Arial"/>
          <w:sz w:val="14"/>
          <w:szCs w:val="14"/>
          <w:b w:val="1"/>
          <w:bCs w:val="1"/>
          <w:i w:val="1"/>
          <w:iCs w:val="1"/>
          <w:color w:val="auto"/>
        </w:rPr>
        <w:t>We cannot assure you that we will not be a passive foreign investment company (a “PFIC”) for U.S. federal income tax purposes for any taxable year, which would generally result in adverse U.S. federal income tax consequences to you if you are a U.S. investor.</w:t>
      </w:r>
    </w:p>
    <w:p>
      <w:pPr>
        <w:spacing w:after="0" w:line="47"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In general, a non-U.S. corporation is a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the purposes of the above calculations,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rents or royalties derived in an active business) and certain investment gains. Cash and cash equivalents are generally treated as passive assets. Goodwill and other intangible assets are generally treated as active assets to the extent they are associated with business activities that generate active income.</w:t>
      </w:r>
    </w:p>
    <w:p>
      <w:pPr>
        <w:spacing w:after="0" w:line="5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Based on the expected composition of our income and assets and the estimated value of our assets, including goodwill and other intangible assets, which is based on the expected price of the ADSs in this offering, we do not expect to be a PFIC for our current taxable year. However, our PFIC status for the current or any future taxable year is an annual factual determination that can be made only after the end of that year. Specifically, our PFIC status for any taxable year will depend on the composition of our income and assets and the average value of our assets from time to time (including the value of our goodwill and other intangible assets, which may be determined in large part by reference to our market capitalization, which could be volatile). Because following this offering we will hold a substantial amount of cash, we may be or become a PFIC for any taxable year if our market capitalization declines or fluctuates significantly. Furthermore, our annual PFIC status could be impacted by our minority investments in other companies (depending, among other things, on the amount invested and the nature of these companies’ business). In addition, it is not entirely clear how the contractual arrangement between us and the VIEs will be treated for purposes of the PFIC rules, and we may be or become a PFIC if the VIEs are not treated as owned by us for these purposes. Accordingly, we cannot assure you that we will not be a PFIC for the current or any future taxable year.</w:t>
      </w:r>
    </w:p>
    <w:p>
      <w:pPr>
        <w:spacing w:after="0" w:line="8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If we are a PFIC for any taxable year during which a U.S. taxpayer owns ADSs or Class A ordinary shares, the U.S. taxpayer generally will be subject to adverse U.S. federal income tax consequences, including increased taxes on gains and certain distributions as well as reporting requirements. You are urged to consult your tax advisor regarding our possible status as a PFIC. See “Taxation — Certain U.S. Federal Income Tax Considerations — Passive Foreign Investment Company Rules.”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2" w:name="page123"/>
    <w:bookmarkEnd w:id="12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This prospectus contains statements that constitute forward-looking statements. Many of the forward -looking statements contained in this prospectus can be identified by the use of forward-looking words such as “anticipate,” “believe,” “could,” “expect,” “should,” “plan,” “intend,” “estimate” and “potential,” among others.</w:t>
      </w:r>
    </w:p>
    <w:p>
      <w:pPr>
        <w:spacing w:after="0" w:line="7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86" w:lineRule="exact"/>
        <w:rPr>
          <w:sz w:val="20"/>
          <w:szCs w:val="20"/>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general economic, political, demographic and business conditions in China and globally;</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fluctuations in inflation and exchange rates in China and globally;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our ability to implement our growth strategy;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our ability to compete and conduct our business in the future;</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the availability of qualified personnel and the ability to retain such personnel;</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the expected growth and competition in the industries in which we operate;</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changes in government policies and regulation;</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other factors that may affect our financial condition, liquidity and results of operations; and</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0"/>
        </w:numPr>
        <w:rPr>
          <w:rFonts w:ascii="Arial" w:cs="Arial" w:eastAsia="Arial" w:hAnsi="Arial"/>
          <w:sz w:val="11"/>
          <w:szCs w:val="11"/>
          <w:color w:val="auto"/>
        </w:rPr>
      </w:pPr>
      <w:r>
        <w:rPr>
          <w:rFonts w:ascii="Arial" w:cs="Arial" w:eastAsia="Arial" w:hAnsi="Arial"/>
          <w:sz w:val="14"/>
          <w:szCs w:val="14"/>
          <w:color w:val="auto"/>
        </w:rPr>
        <w:t>other risk factors discussed under “Risk Factors.”</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3" w:name="page124"/>
    <w:bookmarkEnd w:id="12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USE OF PROCEEDS</w:t>
      </w:r>
    </w:p>
    <w:p>
      <w:pPr>
        <w:spacing w:after="0" w:line="98"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We expect to receive total estimated net proceeds from this offering of approximately US$39.1 million, or approximately US$46.8 million if the underwriters exercise their option to purchase additional ADSs in full, based on the initial public offering price set forth on the front cover of this prospectus, after deducting underwriting discounts and commissions and estimated listing expenses.</w:t>
      </w:r>
    </w:p>
    <w:p>
      <w:pPr>
        <w:spacing w:after="0" w:line="6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plan to use the net proceeds of this offering primarily for the following purposes:</w:t>
      </w:r>
    </w:p>
    <w:p>
      <w:pPr>
        <w:spacing w:after="0" w:line="109" w:lineRule="exact"/>
        <w:rPr>
          <w:sz w:val="20"/>
          <w:szCs w:val="20"/>
          <w:color w:val="auto"/>
        </w:rPr>
      </w:pPr>
    </w:p>
    <w:p>
      <w:pPr>
        <w:ind w:left="1800" w:right="1398" w:hanging="136"/>
        <w:spacing w:after="0" w:line="271" w:lineRule="auto"/>
        <w:tabs>
          <w:tab w:leader="none" w:pos="1804" w:val="left"/>
        </w:tabs>
        <w:numPr>
          <w:ilvl w:val="0"/>
          <w:numId w:val="51"/>
        </w:numPr>
        <w:rPr>
          <w:rFonts w:ascii="Arial" w:cs="Arial" w:eastAsia="Arial" w:hAnsi="Arial"/>
          <w:sz w:val="11"/>
          <w:szCs w:val="11"/>
          <w:color w:val="auto"/>
        </w:rPr>
      </w:pPr>
      <w:r>
        <w:rPr>
          <w:rFonts w:ascii="Arial" w:cs="Arial" w:eastAsia="Arial" w:hAnsi="Arial"/>
          <w:sz w:val="14"/>
          <w:szCs w:val="14"/>
          <w:color w:val="auto"/>
        </w:rPr>
        <w:t>60% will be used for enhancing our digitalization solutions and expanding our transaction services to auto merchants;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51"/>
        </w:numPr>
        <w:rPr>
          <w:rFonts w:ascii="Arial" w:cs="Arial" w:eastAsia="Arial" w:hAnsi="Arial"/>
          <w:sz w:val="11"/>
          <w:szCs w:val="11"/>
          <w:color w:val="auto"/>
        </w:rPr>
      </w:pPr>
      <w:r>
        <w:rPr>
          <w:rFonts w:ascii="Arial" w:cs="Arial" w:eastAsia="Arial" w:hAnsi="Arial"/>
          <w:sz w:val="14"/>
          <w:szCs w:val="14"/>
          <w:color w:val="auto"/>
        </w:rPr>
        <w:t>20% will be used for additional investment in technological capabilities, particularly artificial intelligence; and</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51"/>
        </w:numPr>
        <w:rPr>
          <w:rFonts w:ascii="Arial" w:cs="Arial" w:eastAsia="Arial" w:hAnsi="Arial"/>
          <w:sz w:val="11"/>
          <w:szCs w:val="11"/>
          <w:color w:val="auto"/>
        </w:rPr>
      </w:pPr>
      <w:r>
        <w:rPr>
          <w:rFonts w:ascii="Arial" w:cs="Arial" w:eastAsia="Arial" w:hAnsi="Arial"/>
          <w:sz w:val="14"/>
          <w:szCs w:val="14"/>
          <w:color w:val="auto"/>
        </w:rPr>
        <w:t>20% will be used for general corporate purposes and working capital.</w:t>
      </w:r>
    </w:p>
    <w:p>
      <w:pPr>
        <w:spacing w:after="0" w:line="109"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only if we satisfy the applicable government registration and approval requirements. We cannot assure you that we will be able to meet these requirements on a timely basis, if at all. See “Risk Factors — Risks Related to Doing Business in China —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Additionally, while there is no statutory limit on the amount of capital contribution that we can make to our PRC subsidiaries, loans provided to our PRC subsidiaries are subject to certain statutory limits. For more information about such statutory limits, see “Regulation — Regulations relating to Foreign Exchange Control.”</w:t>
      </w:r>
    </w:p>
    <w:p>
      <w:pPr>
        <w:spacing w:after="0" w:line="7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are able to use all of the net proceeds from this offering for investment in our operations in the PRC by funding our PRC subsidiaries through capital contributions which is not subject to any statutory limit on the amount under PRC laws and regulations. We expect that the net proceeds from this offering to be used in the PRC will be in the form of RMB and, therefore, our PRC subsidiaries will need to convert any capital contributions or loans from U.S. dollars into Renminbi in accordance with applicable PRC laws and regulations. All of the net proceeds from this offering would be available for investment in our operations in the PRC, subject to the foregoing statutory limits on the amount of loans provided to our PRC subsidiaries and the laws and regulations on the conversion from U.S. dollars into Renminbi.</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4" w:name="page125"/>
    <w:bookmarkEnd w:id="12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DIVIDEND POLICY</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have not previously declared or paid any cash dividend or dividend in kind, and have no plan to declare or pay any dividends in the near future. We currently intend to retain our available funds and any future earnings to operate and expand our business. Additionally, we currently do not have any plan to require our PRC subsidiaries to distribute their retained earnings and intend to retain them to operate and expand our business in the PRC.</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are a holding company incorporated in the Cayman Islands. For our cash requirements, including any payment of dividends to our shareholders, we rely upon payments from our operating entities. PRC regulations may restrict the ability of our PRC subsidiaries to pay dividends to us. See “Regulation — Regulations relating to Foreign Exchange Control — Regulations on Dividend Distribution” and “Risk Factors — Risks Related to Doing Business in China — Regulatory restrictions on currency conversion may limit our ability to utilize our revenues effectively and affect the value of your investment.”</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a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net of the fees and expenses payable thereunder. See “Description of American Depositary Shares.”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5" w:name="page126"/>
    <w:bookmarkEnd w:id="12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CAPITALIZATION</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table below sets forth our capitalization as of December 31, 2025:</w:t>
      </w:r>
    </w:p>
    <w:p>
      <w:pPr>
        <w:spacing w:after="0" w:line="109" w:lineRule="exact"/>
        <w:rPr>
          <w:sz w:val="20"/>
          <w:szCs w:val="20"/>
          <w:color w:val="auto"/>
        </w:rPr>
      </w:pPr>
    </w:p>
    <w:p>
      <w:pPr>
        <w:ind w:left="1800" w:hanging="136"/>
        <w:spacing w:after="0"/>
        <w:tabs>
          <w:tab w:leader="none" w:pos="1800" w:val="left"/>
        </w:tabs>
        <w:numPr>
          <w:ilvl w:val="0"/>
          <w:numId w:val="52"/>
        </w:numPr>
        <w:rPr>
          <w:rFonts w:ascii="Arial" w:cs="Arial" w:eastAsia="Arial" w:hAnsi="Arial"/>
          <w:sz w:val="11"/>
          <w:szCs w:val="11"/>
          <w:color w:val="auto"/>
        </w:rPr>
      </w:pPr>
      <w:r>
        <w:rPr>
          <w:rFonts w:ascii="Arial" w:cs="Arial" w:eastAsia="Arial" w:hAnsi="Arial"/>
          <w:sz w:val="14"/>
          <w:szCs w:val="14"/>
          <w:color w:val="auto"/>
        </w:rPr>
        <w:t>on an actual basis;</w:t>
      </w:r>
    </w:p>
    <w:p>
      <w:pPr>
        <w:spacing w:after="0" w:line="10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52"/>
        </w:numPr>
        <w:rPr>
          <w:rFonts w:ascii="Arial" w:cs="Arial" w:eastAsia="Arial" w:hAnsi="Arial"/>
          <w:sz w:val="10"/>
          <w:szCs w:val="10"/>
          <w:color w:val="auto"/>
        </w:rPr>
      </w:pPr>
      <w:r>
        <w:rPr>
          <w:rFonts w:ascii="Arial" w:cs="Arial" w:eastAsia="Arial" w:hAnsi="Arial"/>
          <w:sz w:val="13"/>
          <w:szCs w:val="13"/>
          <w:color w:val="auto"/>
        </w:rPr>
        <w:t>on a pro forma basis to give effect to: (i) the automatic conversion of 600,621,204 issued and outstanding preferred shares (excluding Series E-3 and Series F preferred shares) into 600,621,204 ordinary shares, on a one-for-one basis; (ii) the automatic conversion of 43,099,293 Series E-3 preferred shares and 160,532,881 Series F preferred shares into 43,169,428 and 161,499,813 ordinary shares, respectively, at a ratio of approximately 0.9984:1 and 0.9940:1, respectively (due to certain anti-dilution mechanism pursuant to the currently effective memorandum and articles of association); (iii) the redesignation of all issued and outstanding ordinary shares into 610,157,244 Class A ordinary shares and 331,292,603 Class B ordinary shares on a one-for-one basis, in each case immediately prior to the completion of this offering; (iv) the immediate recognition of share-based compensation expenses of RMB183.4 million (US$26.2 million) and deemed dividend of RMB67.3 million (US$9.6 million) upon the satisfaction of the IPO performance condition of the certain options granted to the employees of the Company and Souche Holdings Ltd (our predecessor) for which the service-based condition had been fully or partially satisfied as of December 31, 2025;</w:t>
      </w:r>
    </w:p>
    <w:p>
      <w:pPr>
        <w:spacing w:after="0" w:line="8" w:lineRule="exact"/>
        <w:rPr>
          <w:rFonts w:ascii="Arial" w:cs="Arial" w:eastAsia="Arial" w:hAnsi="Arial"/>
          <w:sz w:val="10"/>
          <w:szCs w:val="10"/>
          <w:color w:val="auto"/>
        </w:rPr>
      </w:pPr>
    </w:p>
    <w:p>
      <w:pPr>
        <w:jc w:val="both"/>
        <w:ind w:left="1800" w:right="1398" w:firstLine="3"/>
        <w:spacing w:after="0" w:line="237" w:lineRule="auto"/>
        <w:tabs>
          <w:tab w:leader="none" w:pos="2036" w:val="left"/>
        </w:tabs>
        <w:numPr>
          <w:ilvl w:val="1"/>
          <w:numId w:val="52"/>
        </w:numPr>
        <w:rPr>
          <w:rFonts w:ascii="Arial" w:cs="Arial" w:eastAsia="Arial" w:hAnsi="Arial"/>
          <w:sz w:val="14"/>
          <w:szCs w:val="14"/>
          <w:color w:val="auto"/>
        </w:rPr>
      </w:pPr>
      <w:r>
        <w:rPr>
          <w:rFonts w:ascii="Arial" w:cs="Arial" w:eastAsia="Arial" w:hAnsi="Arial"/>
          <w:sz w:val="14"/>
          <w:szCs w:val="14"/>
          <w:color w:val="auto"/>
        </w:rPr>
        <w:t>the immediate recognition of share-based compensation expenses of RMB24.1 million (US$3.5 million) and deemed dividend of RMB9.4 million (US$1.3 million) upon the satisfaction of the IPO condition for awards granted to the Company’s and Predecessor’s employees subsequent to December 31, 2025 with no service conditions; and</w:t>
      </w:r>
    </w:p>
    <w:p>
      <w:pPr>
        <w:spacing w:after="0" w:line="72" w:lineRule="exact"/>
        <w:rPr>
          <w:rFonts w:ascii="Arial" w:cs="Arial" w:eastAsia="Arial" w:hAnsi="Arial"/>
          <w:sz w:val="14"/>
          <w:szCs w:val="14"/>
          <w:color w:val="auto"/>
        </w:rPr>
      </w:pPr>
    </w:p>
    <w:p>
      <w:pPr>
        <w:jc w:val="both"/>
        <w:ind w:left="1800" w:right="1398" w:hanging="136"/>
        <w:spacing w:after="0" w:line="234" w:lineRule="auto"/>
        <w:tabs>
          <w:tab w:leader="none" w:pos="1783" w:val="left"/>
        </w:tabs>
        <w:numPr>
          <w:ilvl w:val="0"/>
          <w:numId w:val="52"/>
        </w:numPr>
        <w:rPr>
          <w:rFonts w:ascii="Arial" w:cs="Arial" w:eastAsia="Arial" w:hAnsi="Arial"/>
          <w:sz w:val="11"/>
          <w:szCs w:val="11"/>
          <w:color w:val="auto"/>
        </w:rPr>
      </w:pPr>
      <w:r>
        <w:rPr>
          <w:rFonts w:ascii="Arial" w:cs="Arial" w:eastAsia="Arial" w:hAnsi="Arial"/>
          <w:sz w:val="14"/>
          <w:szCs w:val="14"/>
          <w:color w:val="auto"/>
        </w:rPr>
        <w:t>on a pro forma as adjusted basis to give effect to (i) the automatic conversion of 600,621,204 issued and outstanding preferred shares (excluding Series E-3 and Series F preferred shares) into 600,621,204 ordinary shares, on a one-for-one basis; (ii) the automatic conversion of 43,099,293 Series E-3 preferred shares and 160,532,881 Series F preferred shares into 43,169,428 and 161,499,813 ordinary shares, respectively, at a ratio of approximately 0.9984:1 and 0.9940:1 respectively (due to certain anti-dilution mechanisms pursuant to the currently effective memorandum and articles of association); (iii) the redesignation of all issued and outstanding ordinary shares into 610,157,244 Class A ordinary shares and 331,292,603 Class B ordinary shares on a one-for-one basis, in each case immediately prior to the completion of this offering; (iv) the issuance and sale of 60,000,000 Class A ordinary shares in the form of 3,000,000 ADSs in this offering, and the receipt of approximately US$39.1 million in estimated net proceeds, considering the initial offering price of US$17.0 per ADS, after deducting underwriting discounts and commissions and estimated offering expenses, assuming the underwriters do not exercise their options to purchase additional ADSs; (v) the immediate recognition of share-based compensation expenses of RMB183.4 million (US$26.2 million) and deemed dividend of RMB67.3 million (US$9.6 million) upon the satisfaction of the IPO performance condition of the certain options granted to employees of the Company and Souche Holdings Ltd (our predecessor) for which the service-based condition had been fully or partially satisfied as of December 31, 2025; and (vi) the immediate recognition of share-based compensation expenses of RMB24.1 million (US$3.5 million) and deemed dividend of RMB9.4 million (US$1.3 million) upon the satisfaction of the IPO condition for awards granted to the Company’s and Predecessor’s employees subsequent to December 31, 2025 with no service condition.</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6" w:name="page127"/>
    <w:bookmarkEnd w:id="12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You should read this table together with our combined and consolidated financial statements and the related notes included elsewhere in this prospectus and the information under “Management’s Discussion and Analysis of Financial Condition and Results of Operations.”</w:t>
      </w:r>
    </w:p>
    <w:p>
      <w:pPr>
        <w:spacing w:after="0" w:line="115"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1"/>
                <w:szCs w:val="11"/>
                <w:b w:val="1"/>
                <w:bCs w:val="1"/>
                <w:color w:val="auto"/>
              </w:rPr>
              <w:t>As of December 31, 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10"/>
        </w:trPr>
        <w:tc>
          <w:tcPr>
            <w:tcW w:w="1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tcPr>
          <w:p>
            <w:pPr>
              <w:jc w:val="right"/>
              <w:ind w:right="372"/>
              <w:spacing w:after="0" w:line="111" w:lineRule="exact"/>
              <w:rPr>
                <w:sz w:val="20"/>
                <w:szCs w:val="20"/>
                <w:color w:val="auto"/>
              </w:rPr>
            </w:pPr>
            <w:r>
              <w:rPr>
                <w:rFonts w:ascii="Arial" w:cs="Arial" w:eastAsia="Arial" w:hAnsi="Arial"/>
                <w:sz w:val="11"/>
                <w:szCs w:val="11"/>
                <w:b w:val="1"/>
                <w:bCs w:val="1"/>
                <w:color w:val="auto"/>
              </w:rPr>
              <w:t>Pro Forma</w:t>
            </w:r>
          </w:p>
        </w:tc>
      </w:tr>
      <w:tr>
        <w:trPr>
          <w:trHeight w:val="160"/>
        </w:trPr>
        <w:tc>
          <w:tcPr>
            <w:tcW w:w="1640" w:type="dxa"/>
            <w:vAlign w:val="bottom"/>
          </w:tcPr>
          <w:p>
            <w:pPr>
              <w:spacing w:after="0"/>
              <w:rPr>
                <w:sz w:val="13"/>
                <w:szCs w:val="13"/>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Actual</w:t>
            </w:r>
          </w:p>
        </w:tc>
        <w:tc>
          <w:tcPr>
            <w:tcW w:w="60" w:type="dxa"/>
            <w:vAlign w:val="bottom"/>
          </w:tcPr>
          <w:p>
            <w:pPr>
              <w:spacing w:after="0"/>
              <w:rPr>
                <w:sz w:val="13"/>
                <w:szCs w:val="13"/>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Actual</w:t>
            </w:r>
          </w:p>
        </w:tc>
        <w:tc>
          <w:tcPr>
            <w:tcW w:w="10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1"/>
                <w:szCs w:val="11"/>
                <w:b w:val="1"/>
                <w:bCs w:val="1"/>
                <w:color w:val="auto"/>
                <w:w w:val="98"/>
              </w:rPr>
              <w:t>Pro Forma</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1"/>
                <w:szCs w:val="11"/>
                <w:b w:val="1"/>
                <w:bCs w:val="1"/>
                <w:color w:val="auto"/>
              </w:rPr>
              <w:t>as Adjusted</w:t>
            </w:r>
          </w:p>
        </w:tc>
      </w:tr>
      <w:tr>
        <w:trPr>
          <w:trHeight w:val="208"/>
        </w:trPr>
        <w:tc>
          <w:tcPr>
            <w:tcW w:w="1640" w:type="dxa"/>
            <w:vAlign w:val="bottom"/>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w w:val="93"/>
              </w:rPr>
              <w:t>US$</w:t>
            </w:r>
          </w:p>
        </w:tc>
        <w:tc>
          <w:tcPr>
            <w:tcW w:w="80" w:type="dxa"/>
            <w:vAlign w:val="bottom"/>
          </w:tcPr>
          <w:p>
            <w:pPr>
              <w:spacing w:after="0"/>
              <w:rPr>
                <w:sz w:val="18"/>
                <w:szCs w:val="18"/>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US$</w:t>
            </w:r>
          </w:p>
        </w:tc>
      </w:tr>
      <w:tr>
        <w:trPr>
          <w:trHeight w:val="15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rPr>
              <w:t>(in thousands)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9"/>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Indebtedness:</w:t>
            </w: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00"/>
        </w:trPr>
        <w:tc>
          <w:tcPr>
            <w:tcW w:w="1640" w:type="dxa"/>
            <w:vAlign w:val="bottom"/>
          </w:tcPr>
          <w:p>
            <w:pPr>
              <w:spacing w:after="0"/>
              <w:rPr>
                <w:sz w:val="20"/>
                <w:szCs w:val="20"/>
                <w:color w:val="auto"/>
              </w:rPr>
            </w:pPr>
            <w:r>
              <w:rPr>
                <w:rFonts w:ascii="Arial" w:cs="Arial" w:eastAsia="Arial" w:hAnsi="Arial"/>
                <w:sz w:val="14"/>
                <w:szCs w:val="14"/>
                <w:color w:val="auto"/>
              </w:rPr>
              <w:t>Short-term loans</w:t>
            </w:r>
          </w:p>
        </w:tc>
        <w:tc>
          <w:tcPr>
            <w:tcW w:w="720" w:type="dxa"/>
            <w:vAlign w:val="bottom"/>
          </w:tcPr>
          <w:p>
            <w:pPr>
              <w:jc w:val="right"/>
              <w:spacing w:after="0"/>
              <w:rPr>
                <w:sz w:val="20"/>
                <w:szCs w:val="20"/>
                <w:color w:val="auto"/>
              </w:rPr>
            </w:pPr>
            <w:r>
              <w:rPr>
                <w:rFonts w:ascii="Arial" w:cs="Arial" w:eastAsia="Arial" w:hAnsi="Arial"/>
                <w:sz w:val="14"/>
                <w:szCs w:val="14"/>
                <w:color w:val="auto"/>
              </w:rPr>
              <w:t>121,274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17,342</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121,274</w:t>
            </w:r>
          </w:p>
        </w:tc>
        <w:tc>
          <w:tcPr>
            <w:tcW w:w="2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17,342</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121,274</w:t>
            </w:r>
          </w:p>
        </w:tc>
        <w:tc>
          <w:tcPr>
            <w:tcW w:w="700" w:type="dxa"/>
            <w:vAlign w:val="bottom"/>
          </w:tcPr>
          <w:p>
            <w:pPr>
              <w:jc w:val="right"/>
              <w:spacing w:after="0"/>
              <w:rPr>
                <w:sz w:val="20"/>
                <w:szCs w:val="20"/>
                <w:color w:val="auto"/>
              </w:rPr>
            </w:pPr>
            <w:r>
              <w:rPr>
                <w:rFonts w:ascii="Arial" w:cs="Arial" w:eastAsia="Arial" w:hAnsi="Arial"/>
                <w:sz w:val="14"/>
                <w:szCs w:val="14"/>
                <w:color w:val="auto"/>
              </w:rPr>
              <w:t>17,342</w:t>
            </w:r>
          </w:p>
        </w:tc>
      </w:tr>
      <w:tr>
        <w:trPr>
          <w:trHeight w:val="155"/>
        </w:trPr>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Amounts due to related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parties, current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2,004</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Amounts due to related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96"/>
        </w:trPr>
        <w:tc>
          <w:tcPr>
            <w:tcW w:w="1640" w:type="dxa"/>
            <w:vAlign w:val="bottom"/>
          </w:tcPr>
          <w:p>
            <w:pPr>
              <w:ind w:left="140"/>
              <w:spacing w:after="0"/>
              <w:rPr>
                <w:sz w:val="20"/>
                <w:szCs w:val="20"/>
                <w:color w:val="auto"/>
              </w:rPr>
            </w:pPr>
            <w:r>
              <w:rPr>
                <w:rFonts w:ascii="Arial" w:cs="Arial" w:eastAsia="Arial" w:hAnsi="Arial"/>
                <w:sz w:val="14"/>
                <w:szCs w:val="14"/>
                <w:color w:val="auto"/>
              </w:rPr>
              <w:t>parties, non-current</w:t>
            </w:r>
          </w:p>
        </w:tc>
        <w:tc>
          <w:tcPr>
            <w:tcW w:w="720" w:type="dxa"/>
            <w:vAlign w:val="bottom"/>
          </w:tcPr>
          <w:p>
            <w:pPr>
              <w:jc w:val="right"/>
              <w:spacing w:after="0"/>
              <w:rPr>
                <w:sz w:val="20"/>
                <w:szCs w:val="20"/>
                <w:color w:val="auto"/>
              </w:rPr>
            </w:pPr>
            <w:r>
              <w:rPr>
                <w:rFonts w:ascii="Arial" w:cs="Arial" w:eastAsia="Arial" w:hAnsi="Arial"/>
                <w:sz w:val="14"/>
                <w:szCs w:val="14"/>
                <w:color w:val="auto"/>
              </w:rPr>
              <w:t>282,998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40,468</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282,998</w:t>
            </w:r>
          </w:p>
        </w:tc>
        <w:tc>
          <w:tcPr>
            <w:tcW w:w="2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40,468</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282,998</w:t>
            </w:r>
          </w:p>
        </w:tc>
        <w:tc>
          <w:tcPr>
            <w:tcW w:w="700" w:type="dxa"/>
            <w:vAlign w:val="bottom"/>
          </w:tcPr>
          <w:p>
            <w:pPr>
              <w:jc w:val="right"/>
              <w:spacing w:after="0"/>
              <w:rPr>
                <w:sz w:val="20"/>
                <w:szCs w:val="20"/>
                <w:color w:val="auto"/>
              </w:rPr>
            </w:pPr>
            <w:r>
              <w:rPr>
                <w:rFonts w:ascii="Arial" w:cs="Arial" w:eastAsia="Arial" w:hAnsi="Arial"/>
                <w:sz w:val="14"/>
                <w:szCs w:val="14"/>
                <w:color w:val="auto"/>
              </w:rPr>
              <w:t>40,468</w:t>
            </w:r>
          </w:p>
        </w:tc>
      </w:tr>
      <w:tr>
        <w:trPr>
          <w:trHeight w:val="227"/>
        </w:trPr>
        <w:tc>
          <w:tcPr>
            <w:tcW w:w="1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06"/>
        </w:trPr>
        <w:tc>
          <w:tcPr>
            <w:tcW w:w="1640" w:type="dxa"/>
            <w:vAlign w:val="bottom"/>
          </w:tcPr>
          <w:p>
            <w:pPr>
              <w:spacing w:after="0"/>
              <w:rPr>
                <w:sz w:val="20"/>
                <w:szCs w:val="20"/>
                <w:color w:val="auto"/>
              </w:rPr>
            </w:pPr>
            <w:r>
              <w:rPr>
                <w:rFonts w:ascii="Arial" w:cs="Arial" w:eastAsia="Arial" w:hAnsi="Arial"/>
                <w:sz w:val="14"/>
                <w:szCs w:val="14"/>
                <w:b w:val="1"/>
                <w:bCs w:val="1"/>
                <w:color w:val="auto"/>
              </w:rPr>
              <w:t>Mezzanine equity:</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A-1 redeemable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10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Series A-2 redeemable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6"/>
        </w:trPr>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7"/>
        </w:trPr>
        <w:tc>
          <w:tcPr>
            <w:tcW w:w="1640" w:type="dxa"/>
            <w:vAlign w:val="bottom"/>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color w:val="auto"/>
              </w:rPr>
              <w:t>192,113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27,472</w:t>
            </w:r>
          </w:p>
        </w:tc>
        <w:tc>
          <w:tcPr>
            <w:tcW w:w="100" w:type="dxa"/>
            <w:vAlign w:val="bottom"/>
          </w:tcPr>
          <w:p>
            <w:pPr>
              <w:spacing w:after="0"/>
              <w:rPr>
                <w:sz w:val="16"/>
                <w:szCs w:val="16"/>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Series B redeemable</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8,098</w:t>
            </w:r>
          </w:p>
        </w:tc>
        <w:tc>
          <w:tcPr>
            <w:tcW w:w="10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Series D redeemable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6"/>
        </w:trPr>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7"/>
        </w:trPr>
        <w:tc>
          <w:tcPr>
            <w:tcW w:w="1640" w:type="dxa"/>
            <w:vAlign w:val="bottom"/>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color w:val="auto"/>
              </w:rPr>
              <w:t>836,375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119,600</w:t>
            </w:r>
          </w:p>
        </w:tc>
        <w:tc>
          <w:tcPr>
            <w:tcW w:w="100" w:type="dxa"/>
            <w:vAlign w:val="bottom"/>
          </w:tcPr>
          <w:p>
            <w:pPr>
              <w:spacing w:after="0"/>
              <w:rPr>
                <w:sz w:val="16"/>
                <w:szCs w:val="16"/>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Series D-1 redeemable</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308,370</w:t>
            </w:r>
          </w:p>
        </w:tc>
        <w:tc>
          <w:tcPr>
            <w:tcW w:w="10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Series E-1 redeemable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6"/>
        </w:trPr>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7"/>
        </w:trPr>
        <w:tc>
          <w:tcPr>
            <w:tcW w:w="1640" w:type="dxa"/>
            <w:vAlign w:val="bottom"/>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color w:val="auto"/>
              </w:rPr>
              <w:t>1,694,022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242,242</w:t>
            </w:r>
          </w:p>
        </w:tc>
        <w:tc>
          <w:tcPr>
            <w:tcW w:w="100" w:type="dxa"/>
            <w:vAlign w:val="bottom"/>
          </w:tcPr>
          <w:p>
            <w:pPr>
              <w:spacing w:after="0"/>
              <w:rPr>
                <w:sz w:val="16"/>
                <w:szCs w:val="16"/>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Series E-2 redeemable</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3,286,960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470,029</w:t>
            </w:r>
          </w:p>
        </w:tc>
        <w:tc>
          <w:tcPr>
            <w:tcW w:w="10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Series E-3 redeemable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6"/>
        </w:trPr>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7"/>
        </w:trPr>
        <w:tc>
          <w:tcPr>
            <w:tcW w:w="1640" w:type="dxa"/>
            <w:vAlign w:val="bottom"/>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color w:val="auto"/>
              </w:rPr>
              <w:t>1,411,557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201,850</w:t>
            </w:r>
          </w:p>
        </w:tc>
        <w:tc>
          <w:tcPr>
            <w:tcW w:w="100" w:type="dxa"/>
            <w:vAlign w:val="bottom"/>
          </w:tcPr>
          <w:p>
            <w:pPr>
              <w:spacing w:after="0"/>
              <w:rPr>
                <w:sz w:val="16"/>
                <w:szCs w:val="16"/>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16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Series F redeemable</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6"/>
        </w:trPr>
        <w:tc>
          <w:tcPr>
            <w:tcW w:w="1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6,508,127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930,650</w:t>
            </w:r>
          </w:p>
        </w:tc>
        <w:tc>
          <w:tcPr>
            <w:tcW w:w="10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640" w:type="dxa"/>
            <w:vAlign w:val="bottom"/>
          </w:tcPr>
          <w:p>
            <w:pPr>
              <w:spacing w:after="0" w:line="137" w:lineRule="exact"/>
              <w:rPr>
                <w:sz w:val="20"/>
                <w:szCs w:val="20"/>
                <w:color w:val="auto"/>
              </w:rPr>
            </w:pPr>
            <w:r>
              <w:rPr>
                <w:rFonts w:ascii="Arial" w:cs="Arial" w:eastAsia="Arial" w:hAnsi="Arial"/>
                <w:sz w:val="14"/>
                <w:szCs w:val="14"/>
                <w:color w:val="auto"/>
              </w:rPr>
              <w:t>Series G redeemable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6"/>
        </w:trPr>
        <w:tc>
          <w:tcPr>
            <w:tcW w:w="1640" w:type="dxa"/>
            <w:vAlign w:val="bottom"/>
          </w:tcPr>
          <w:p>
            <w:pPr>
              <w:ind w:left="140"/>
              <w:spacing w:after="0" w:line="156" w:lineRule="exact"/>
              <w:rPr>
                <w:sz w:val="20"/>
                <w:szCs w:val="20"/>
                <w:color w:val="auto"/>
              </w:rPr>
            </w:pPr>
            <w:r>
              <w:rPr>
                <w:rFonts w:ascii="Arial" w:cs="Arial" w:eastAsia="Arial" w:hAnsi="Arial"/>
                <w:sz w:val="14"/>
                <w:szCs w:val="14"/>
                <w:color w:val="auto"/>
              </w:rPr>
              <w:t>convertible preferred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1"/>
        </w:trPr>
        <w:tc>
          <w:tcPr>
            <w:tcW w:w="1640" w:type="dxa"/>
            <w:vAlign w:val="bottom"/>
          </w:tcPr>
          <w:p>
            <w:pPr>
              <w:ind w:left="14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color w:val="auto"/>
              </w:rPr>
              <w:t>370,046</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52,915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2"/>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mezzanine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16,538,315</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2,364,948</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91"/>
        </w:trPr>
        <w:tc>
          <w:tcPr>
            <w:tcW w:w="1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118</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127" w:name="page128"/>
    <w:bookmarkEnd w:id="12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As of December 31, 2025</w:t>
            </w: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gridSpan w:val="5"/>
          </w:tcPr>
          <w:p>
            <w:pPr>
              <w:jc w:val="right"/>
              <w:ind w:right="520"/>
              <w:spacing w:after="0" w:line="111" w:lineRule="exact"/>
              <w:rPr>
                <w:sz w:val="20"/>
                <w:szCs w:val="20"/>
                <w:color w:val="auto"/>
              </w:rPr>
            </w:pPr>
            <w:r>
              <w:rPr>
                <w:rFonts w:ascii="Arial" w:cs="Arial" w:eastAsia="Arial" w:hAnsi="Arial"/>
                <w:sz w:val="11"/>
                <w:szCs w:val="11"/>
                <w:b w:val="1"/>
                <w:bCs w:val="1"/>
                <w:color w:val="auto"/>
              </w:rPr>
              <w:t>Pro Forma</w:t>
            </w:r>
          </w:p>
        </w:tc>
      </w:tr>
      <w:tr>
        <w:trPr>
          <w:trHeight w:val="160"/>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Actual</w:t>
            </w:r>
          </w:p>
        </w:tc>
        <w:tc>
          <w:tcPr>
            <w:tcW w:w="6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Actual</w:t>
            </w:r>
          </w:p>
        </w:tc>
        <w:tc>
          <w:tcPr>
            <w:tcW w:w="60" w:type="dxa"/>
            <w:vAlign w:val="bottom"/>
          </w:tcPr>
          <w:p>
            <w:pPr>
              <w:spacing w:after="0"/>
              <w:rPr>
                <w:sz w:val="13"/>
                <w:szCs w:val="13"/>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8"/>
              </w:rPr>
              <w:t>Pro Forma</w:t>
            </w:r>
          </w:p>
        </w:tc>
        <w:tc>
          <w:tcPr>
            <w:tcW w:w="60" w:type="dxa"/>
            <w:vAlign w:val="bottom"/>
          </w:tcPr>
          <w:p>
            <w:pPr>
              <w:spacing w:after="0"/>
              <w:rPr>
                <w:sz w:val="13"/>
                <w:szCs w:val="13"/>
                <w:color w:val="auto"/>
              </w:rPr>
            </w:pPr>
          </w:p>
        </w:tc>
        <w:tc>
          <w:tcPr>
            <w:tcW w:w="15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1"/>
                <w:szCs w:val="11"/>
                <w:b w:val="1"/>
                <w:bCs w:val="1"/>
                <w:color w:val="auto"/>
              </w:rPr>
              <w:t>as Adjusted</w:t>
            </w:r>
          </w:p>
        </w:tc>
      </w:tr>
      <w:tr>
        <w:trPr>
          <w:trHeight w:val="208"/>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c>
          <w:tcPr>
            <w:tcW w:w="6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RMB</w:t>
            </w:r>
          </w:p>
        </w:tc>
        <w:tc>
          <w:tcPr>
            <w:tcW w:w="40" w:type="dxa"/>
            <w:vAlign w:val="bottom"/>
          </w:tcPr>
          <w:p>
            <w:pPr>
              <w:spacing w:after="0"/>
              <w:rPr>
                <w:sz w:val="18"/>
                <w:szCs w:val="18"/>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c>
          <w:tcPr>
            <w:tcW w:w="6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RMB</w:t>
            </w:r>
          </w:p>
        </w:tc>
        <w:tc>
          <w:tcPr>
            <w:tcW w:w="40" w:type="dxa"/>
            <w:vAlign w:val="bottom"/>
          </w:tcPr>
          <w:p>
            <w:pPr>
              <w:spacing w:after="0"/>
              <w:rPr>
                <w:sz w:val="18"/>
                <w:szCs w:val="18"/>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r>
      <w:tr>
        <w:trPr>
          <w:trHeight w:val="150"/>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rPr>
              <w:t>(in thousands)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9"/>
        </w:trPr>
        <w:tc>
          <w:tcPr>
            <w:tcW w:w="20" w:type="dxa"/>
            <w:vAlign w:val="bottom"/>
          </w:tcPr>
          <w:p>
            <w:pPr>
              <w:spacing w:after="0"/>
              <w:rPr>
                <w:sz w:val="12"/>
                <w:szCs w:val="12"/>
                <w:color w:val="auto"/>
              </w:rPr>
            </w:pPr>
          </w:p>
        </w:tc>
        <w:tc>
          <w:tcPr>
            <w:tcW w:w="13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Shareholders’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5"/>
        </w:trPr>
        <w:tc>
          <w:tcPr>
            <w:tcW w:w="20" w:type="dxa"/>
            <w:vAlign w:val="bottom"/>
          </w:tcPr>
          <w:p>
            <w:pPr>
              <w:spacing w:after="0"/>
              <w:rPr>
                <w:sz w:val="17"/>
                <w:szCs w:val="17"/>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deficit:</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0"/>
        </w:trPr>
        <w:tc>
          <w:tcPr>
            <w:tcW w:w="1340" w:type="dxa"/>
            <w:vAlign w:val="bottom"/>
            <w:gridSpan w:val="2"/>
          </w:tcPr>
          <w:p>
            <w:pPr>
              <w:spacing w:after="0"/>
              <w:rPr>
                <w:sz w:val="20"/>
                <w:szCs w:val="20"/>
                <w:color w:val="auto"/>
              </w:rPr>
            </w:pPr>
            <w:r>
              <w:rPr>
                <w:rFonts w:ascii="Arial" w:cs="Arial" w:eastAsia="Arial" w:hAnsi="Arial"/>
                <w:sz w:val="14"/>
                <w:szCs w:val="14"/>
                <w:color w:val="auto"/>
              </w:rPr>
              <w:t>Ordinary Shares</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5"/>
        </w:trPr>
        <w:tc>
          <w:tcPr>
            <w:tcW w:w="20" w:type="dxa"/>
            <w:vAlign w:val="bottom"/>
          </w:tcPr>
          <w:p>
            <w:pPr>
              <w:spacing w:after="0"/>
              <w:rPr>
                <w:sz w:val="13"/>
                <w:szCs w:val="13"/>
                <w:color w:val="auto"/>
              </w:rPr>
            </w:pPr>
          </w:p>
        </w:tc>
        <w:tc>
          <w:tcPr>
            <w:tcW w:w="1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Class A ordinary</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7"/>
                <w:szCs w:val="17"/>
                <w:color w:val="auto"/>
              </w:rPr>
            </w:pPr>
          </w:p>
        </w:tc>
      </w:tr>
      <w:tr>
        <w:trPr>
          <w:trHeight w:val="137"/>
        </w:trPr>
        <w:tc>
          <w:tcPr>
            <w:tcW w:w="20" w:type="dxa"/>
            <w:vAlign w:val="bottom"/>
          </w:tcPr>
          <w:p>
            <w:pPr>
              <w:spacing w:after="0"/>
              <w:rPr>
                <w:sz w:val="11"/>
                <w:szCs w:val="11"/>
                <w:color w:val="auto"/>
              </w:rPr>
            </w:pPr>
          </w:p>
        </w:tc>
        <w:tc>
          <w:tcPr>
            <w:tcW w:w="1320" w:type="dxa"/>
            <w:vAlign w:val="bottom"/>
          </w:tcPr>
          <w:p>
            <w:pPr>
              <w:spacing w:after="0" w:line="137" w:lineRule="exact"/>
              <w:rPr>
                <w:sz w:val="20"/>
                <w:szCs w:val="20"/>
                <w:color w:val="auto"/>
              </w:rPr>
            </w:pPr>
            <w:r>
              <w:rPr>
                <w:rFonts w:ascii="Arial" w:cs="Arial" w:eastAsia="Arial" w:hAnsi="Arial"/>
                <w:sz w:val="14"/>
                <w:szCs w:val="14"/>
                <w:color w:val="auto"/>
              </w:rPr>
              <w:t>Class B ordinary</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1320" w:type="dxa"/>
            <w:vAlign w:val="bottom"/>
          </w:tcPr>
          <w:p>
            <w:pPr>
              <w:ind w:left="12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254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254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1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Additional paid-in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16,821,927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2,405,504</w:t>
            </w: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17,095,179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2,444,578</w:t>
            </w:r>
          </w:p>
        </w:tc>
        <w:tc>
          <w:tcPr>
            <w:tcW w:w="60" w:type="dxa"/>
            <w:vAlign w:val="bottom"/>
            <w:shd w:val="clear" w:color="auto" w:fill="CCEEFF"/>
          </w:tcPr>
          <w:p>
            <w:pPr>
              <w:spacing w:after="0"/>
              <w:rPr>
                <w:sz w:val="17"/>
                <w:szCs w:val="17"/>
                <w:color w:val="auto"/>
              </w:rPr>
            </w:pPr>
          </w:p>
        </w:tc>
      </w:tr>
      <w:tr>
        <w:trPr>
          <w:trHeight w:val="200"/>
        </w:trPr>
        <w:tc>
          <w:tcPr>
            <w:tcW w:w="134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(15,828,914)</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(2,263,505)</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(16,113,089)</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(2,304,141)</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(16,113,089)</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(2,304,141)</w:t>
            </w:r>
          </w:p>
        </w:tc>
      </w:tr>
      <w:tr>
        <w:trPr>
          <w:trHeight w:val="155"/>
        </w:trPr>
        <w:tc>
          <w:tcPr>
            <w:tcW w:w="20" w:type="dxa"/>
            <w:vAlign w:val="bottom"/>
          </w:tcPr>
          <w:p>
            <w:pPr>
              <w:spacing w:after="0"/>
              <w:rPr>
                <w:sz w:val="13"/>
                <w:szCs w:val="13"/>
                <w:color w:val="auto"/>
              </w:rPr>
            </w:pPr>
          </w:p>
        </w:tc>
        <w:tc>
          <w:tcPr>
            <w:tcW w:w="1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Accumulated other</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32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comprehensive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(2,209)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(316)</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(2,209)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(316)</w:t>
            </w:r>
          </w:p>
        </w:tc>
      </w:tr>
      <w:tr>
        <w:trPr>
          <w:trHeight w:val="131"/>
        </w:trPr>
        <w:tc>
          <w:tcPr>
            <w:tcW w:w="20" w:type="dxa"/>
            <w:vAlign w:val="bottom"/>
          </w:tcPr>
          <w:p>
            <w:pPr>
              <w:spacing w:after="0"/>
              <w:rPr>
                <w:sz w:val="11"/>
                <w:szCs w:val="11"/>
                <w:color w:val="auto"/>
              </w:rPr>
            </w:pPr>
          </w:p>
        </w:tc>
        <w:tc>
          <w:tcPr>
            <w:tcW w:w="132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w w:val="99"/>
              </w:rPr>
              <w:t>Total DSC Holdings</w:t>
            </w: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132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Ltd.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32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shareholders’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(15,831,000)</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(2,263,803)</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707,315</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101,145</w:t>
            </w:r>
          </w:p>
        </w:tc>
        <w:tc>
          <w:tcPr>
            <w:tcW w:w="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980,609</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140,225</w:t>
            </w:r>
          </w:p>
        </w:tc>
        <w:tc>
          <w:tcPr>
            <w:tcW w:w="6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132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Total shareholders’</w:t>
            </w: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1320" w:type="dxa"/>
            <w:vAlign w:val="bottom"/>
          </w:tcPr>
          <w:p>
            <w:pPr>
              <w:ind w:left="120"/>
              <w:spacing w:after="0"/>
              <w:rPr>
                <w:sz w:val="20"/>
                <w:szCs w:val="20"/>
                <w:color w:val="auto"/>
              </w:rPr>
            </w:pPr>
            <w:r>
              <w:rPr>
                <w:rFonts w:ascii="Arial" w:cs="Arial" w:eastAsia="Arial" w:hAnsi="Arial"/>
                <w:sz w:val="14"/>
                <w:szCs w:val="14"/>
                <w:b w:val="1"/>
                <w:bCs w:val="1"/>
                <w:color w:val="auto"/>
              </w:rPr>
              <w:t>(deficit)/equity</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8"/>
              </w:rPr>
              <w:t>(15,830,911)</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(2,263,790)</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707,404</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101,158</w:t>
            </w:r>
          </w:p>
        </w:tc>
        <w:tc>
          <w:tcPr>
            <w:tcW w:w="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980,698</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140,238</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capitalization</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1,113,680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159,255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1,113,680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159,255</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1,386,974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198,335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color w:val="auto"/>
              </w:rPr>
              <w:t>119</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r>
    </w:tbl>
    <w:p>
      <w:pPr>
        <w:sectPr>
          <w:pgSz w:w="11920" w:h="16838" w:orient="portrait"/>
          <w:cols w:equalWidth="0" w:num="1">
            <w:col w:w="9038"/>
          </w:cols>
          <w:pgMar w:left="1440" w:top="230" w:right="1440" w:bottom="1440" w:gutter="0" w:footer="0" w:header="0"/>
        </w:sectPr>
      </w:pPr>
    </w:p>
    <w:bookmarkStart w:id="128" w:name="page129"/>
    <w:bookmarkEnd w:id="12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DILUTION</w:t>
      </w:r>
    </w:p>
    <w:p>
      <w:pPr>
        <w:spacing w:after="0" w:line="8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issued and outstanding ordinary shares.</w:t>
      </w:r>
    </w:p>
    <w:p>
      <w:pPr>
        <w:spacing w:after="0" w:line="63"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net tangible book value as of December 31, 2025 was US$(2,366.0) million, or US$(17.38) per ordinary share as of that date. Net tangible book value represents the amount of our consolidated assets, less intangible assets, goodwill, capitalized contract costs, deferred IPO costs, and the amount of our total consolidated liabilities and mezzanine equity. Dilution is determined by considering the effect of the automatic conversion of our issued and outstanding preferred shares and subtracting net tangible book value per ordinary share as adjusted from the initial public offering price per ordinary shares.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77" w:lineRule="exact"/>
        <w:rPr>
          <w:sz w:val="20"/>
          <w:szCs w:val="20"/>
          <w:color w:val="auto"/>
        </w:rPr>
      </w:pPr>
    </w:p>
    <w:p>
      <w:pPr>
        <w:jc w:val="both"/>
        <w:ind w:left="1420" w:right="1398" w:firstLine="249"/>
        <w:spacing w:after="0" w:line="256" w:lineRule="auto"/>
        <w:rPr>
          <w:sz w:val="20"/>
          <w:szCs w:val="20"/>
          <w:color w:val="auto"/>
        </w:rPr>
      </w:pPr>
      <w:r>
        <w:rPr>
          <w:rFonts w:ascii="Arial" w:cs="Arial" w:eastAsia="Arial" w:hAnsi="Arial"/>
          <w:sz w:val="13"/>
          <w:szCs w:val="13"/>
          <w:color w:val="auto"/>
        </w:rPr>
        <w:t>Without taking into account any other changes in such net tangible book value after December 31, 2025, other than to give effect to the automatic conversion of our issued and outstanding preferred shares and the issuance and sale of 60,000,000 Class A ordinary shares offered in this offering, and the receipt of approximately US$39.1 million in estimated net proceeds, considering the initial offering price of US$17.0 per ADS, after deducting underwriting discounts and commissions and estimated offering expenses, our pro forma as adjusted net tangible book value as of December 31, 2025 would have been US$38.0 million, or US$0.04 per ordinary share and US$ 0.76 per ADS, which represents an immediate increase in net tangible book value of US$ 0.04 per common share and US$0.78 per ADS to existing shareholders and an immediate dilution in net tangible book value of US$0.81 per ordinary share, or US$16.24 per ADS, to purchasers of ADSs in this offering.</w:t>
      </w:r>
    </w:p>
    <w:p>
      <w:pPr>
        <w:spacing w:after="0" w:line="55"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illustrates the dilution at an initial public offering price of US$17.0 per ADS, and all ADSs are exchanged for Class A ordinary shares:</w:t>
      </w:r>
    </w:p>
    <w:p>
      <w:pPr>
        <w:spacing w:after="0" w:line="89"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jc w:val="center"/>
              <w:ind w:right="195"/>
              <w:spacing w:after="0"/>
              <w:rPr>
                <w:sz w:val="20"/>
                <w:szCs w:val="20"/>
                <w:color w:val="auto"/>
              </w:rPr>
            </w:pPr>
            <w:r>
              <w:rPr>
                <w:rFonts w:ascii="Arial" w:cs="Arial" w:eastAsia="Arial" w:hAnsi="Arial"/>
                <w:sz w:val="11"/>
                <w:szCs w:val="11"/>
                <w:b w:val="1"/>
                <w:bCs w:val="1"/>
                <w:color w:val="auto"/>
              </w:rPr>
              <w:t>Per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5"/>
        </w:trPr>
        <w:tc>
          <w:tcPr>
            <w:tcW w:w="4200" w:type="dxa"/>
            <w:vAlign w:val="bottom"/>
          </w:tcPr>
          <w:p>
            <w:pPr>
              <w:spacing w:after="0"/>
              <w:rPr>
                <w:sz w:val="10"/>
                <w:szCs w:val="10"/>
                <w:color w:val="auto"/>
              </w:rPr>
            </w:pPr>
          </w:p>
        </w:tc>
        <w:tc>
          <w:tcPr>
            <w:tcW w:w="8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Ordinary</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60"/>
        </w:trPr>
        <w:tc>
          <w:tcPr>
            <w:tcW w:w="4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rPr>
              <w:t>Share</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w w:val="99"/>
              </w:rPr>
              <w:t>Per ADS</w:t>
            </w:r>
          </w:p>
        </w:tc>
      </w:tr>
      <w:tr>
        <w:trPr>
          <w:trHeight w:val="214"/>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 per Class A ordinary share</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0.85</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17.00</w:t>
            </w:r>
          </w:p>
        </w:tc>
      </w:tr>
      <w:tr>
        <w:trPr>
          <w:trHeight w:val="200"/>
        </w:trPr>
        <w:tc>
          <w:tcPr>
            <w:tcW w:w="4200" w:type="dxa"/>
            <w:vAlign w:val="bottom"/>
          </w:tcPr>
          <w:p>
            <w:pPr>
              <w:spacing w:after="0"/>
              <w:rPr>
                <w:sz w:val="20"/>
                <w:szCs w:val="20"/>
                <w:color w:val="auto"/>
              </w:rPr>
            </w:pPr>
            <w:r>
              <w:rPr>
                <w:rFonts w:ascii="Arial" w:cs="Arial" w:eastAsia="Arial" w:hAnsi="Arial"/>
                <w:sz w:val="14"/>
                <w:szCs w:val="14"/>
                <w:color w:val="auto"/>
              </w:rPr>
              <w:t>Net tangible book value as of December 31, 2025</w:t>
            </w:r>
          </w:p>
        </w:tc>
        <w:tc>
          <w:tcPr>
            <w:tcW w:w="280" w:type="dxa"/>
            <w:vAlign w:val="bottom"/>
          </w:tcPr>
          <w:p>
            <w:pPr>
              <w:spacing w:after="0"/>
              <w:rPr>
                <w:sz w:val="20"/>
                <w:szCs w:val="20"/>
                <w:color w:val="auto"/>
              </w:rPr>
            </w:pPr>
            <w:r>
              <w:rPr>
                <w:rFonts w:ascii="Arial" w:cs="Arial" w:eastAsia="Arial" w:hAnsi="Arial"/>
                <w:sz w:val="14"/>
                <w:szCs w:val="14"/>
                <w:color w:val="auto"/>
                <w:w w:val="95"/>
              </w:rPr>
              <w:t>US$</w:t>
            </w:r>
          </w:p>
        </w:tc>
        <w:tc>
          <w:tcPr>
            <w:tcW w:w="600" w:type="dxa"/>
            <w:vAlign w:val="bottom"/>
          </w:tcPr>
          <w:p>
            <w:pPr>
              <w:jc w:val="right"/>
              <w:spacing w:after="0"/>
              <w:rPr>
                <w:sz w:val="20"/>
                <w:szCs w:val="20"/>
                <w:color w:val="auto"/>
              </w:rPr>
            </w:pPr>
            <w:r>
              <w:rPr>
                <w:rFonts w:ascii="Arial" w:cs="Arial" w:eastAsia="Arial" w:hAnsi="Arial"/>
                <w:sz w:val="14"/>
                <w:szCs w:val="14"/>
                <w:color w:val="auto"/>
              </w:rPr>
              <w:t>(17.38)</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US$</w:t>
            </w:r>
          </w:p>
        </w:tc>
        <w:tc>
          <w:tcPr>
            <w:tcW w:w="760" w:type="dxa"/>
            <w:vAlign w:val="bottom"/>
          </w:tcPr>
          <w:p>
            <w:pPr>
              <w:jc w:val="right"/>
              <w:spacing w:after="0"/>
              <w:rPr>
                <w:sz w:val="20"/>
                <w:szCs w:val="20"/>
                <w:color w:val="auto"/>
              </w:rPr>
            </w:pPr>
            <w:r>
              <w:rPr>
                <w:rFonts w:ascii="Arial" w:cs="Arial" w:eastAsia="Arial" w:hAnsi="Arial"/>
                <w:sz w:val="14"/>
                <w:szCs w:val="14"/>
                <w:color w:val="auto"/>
              </w:rPr>
              <w:t>(347.54)</w:t>
            </w:r>
          </w:p>
        </w:tc>
      </w:tr>
      <w:tr>
        <w:trPr>
          <w:trHeight w:val="155"/>
        </w:trPr>
        <w:tc>
          <w:tcPr>
            <w:tcW w:w="4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Pro Forma net tangible book value as of December 31, 2025 after</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giving effect to the automatic conversion of all of our preferred</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05"/>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r>
      <w:tr>
        <w:trPr>
          <w:trHeight w:val="137"/>
        </w:trPr>
        <w:tc>
          <w:tcPr>
            <w:tcW w:w="4200" w:type="dxa"/>
            <w:vAlign w:val="bottom"/>
          </w:tcPr>
          <w:p>
            <w:pPr>
              <w:spacing w:after="0" w:line="137" w:lineRule="exact"/>
              <w:rPr>
                <w:sz w:val="20"/>
                <w:szCs w:val="20"/>
                <w:color w:val="auto"/>
              </w:rPr>
            </w:pPr>
            <w:r>
              <w:rPr>
                <w:rFonts w:ascii="Arial" w:cs="Arial" w:eastAsia="Arial" w:hAnsi="Arial"/>
                <w:sz w:val="14"/>
                <w:szCs w:val="14"/>
                <w:color w:val="auto"/>
              </w:rPr>
              <w:t>Pro forma as adjusted net tangible book value after giving effect to</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6"/>
        </w:trPr>
        <w:tc>
          <w:tcPr>
            <w:tcW w:w="4200" w:type="dxa"/>
            <w:vAlign w:val="bottom"/>
          </w:tcPr>
          <w:p>
            <w:pPr>
              <w:ind w:left="140"/>
              <w:spacing w:after="0" w:line="156" w:lineRule="exact"/>
              <w:rPr>
                <w:sz w:val="20"/>
                <w:szCs w:val="20"/>
                <w:color w:val="auto"/>
              </w:rPr>
            </w:pPr>
            <w:r>
              <w:rPr>
                <w:rFonts w:ascii="Arial" w:cs="Arial" w:eastAsia="Arial" w:hAnsi="Arial"/>
                <w:sz w:val="14"/>
                <w:szCs w:val="14"/>
                <w:color w:val="auto"/>
              </w:rPr>
              <w:t>the automatic conversion of all of our preferred shares and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4200" w:type="dxa"/>
            <w:vAlign w:val="bottom"/>
          </w:tcPr>
          <w:p>
            <w:pPr>
              <w:ind w:left="140"/>
              <w:spacing w:after="0"/>
              <w:rPr>
                <w:sz w:val="20"/>
                <w:szCs w:val="20"/>
                <w:color w:val="auto"/>
              </w:rPr>
            </w:pPr>
            <w:r>
              <w:rPr>
                <w:rFonts w:ascii="Arial" w:cs="Arial" w:eastAsia="Arial" w:hAnsi="Arial"/>
                <w:sz w:val="14"/>
                <w:szCs w:val="14"/>
                <w:color w:val="auto"/>
              </w:rPr>
              <w:t>this offering as of December 31, 2025</w:t>
            </w:r>
          </w:p>
        </w:tc>
        <w:tc>
          <w:tcPr>
            <w:tcW w:w="280" w:type="dxa"/>
            <w:vAlign w:val="bottom"/>
          </w:tcPr>
          <w:p>
            <w:pPr>
              <w:spacing w:after="0"/>
              <w:rPr>
                <w:sz w:val="20"/>
                <w:szCs w:val="20"/>
                <w:color w:val="auto"/>
              </w:rPr>
            </w:pPr>
            <w:r>
              <w:rPr>
                <w:rFonts w:ascii="Arial" w:cs="Arial" w:eastAsia="Arial" w:hAnsi="Arial"/>
                <w:sz w:val="14"/>
                <w:szCs w:val="14"/>
                <w:color w:val="auto"/>
                <w:w w:val="95"/>
              </w:rPr>
              <w:t>US$</w:t>
            </w:r>
          </w:p>
        </w:tc>
        <w:tc>
          <w:tcPr>
            <w:tcW w:w="600" w:type="dxa"/>
            <w:vAlign w:val="bottom"/>
          </w:tcPr>
          <w:p>
            <w:pPr>
              <w:jc w:val="right"/>
              <w:ind w:right="35"/>
              <w:spacing w:after="0"/>
              <w:rPr>
                <w:sz w:val="20"/>
                <w:szCs w:val="20"/>
                <w:color w:val="auto"/>
              </w:rPr>
            </w:pPr>
            <w:r>
              <w:rPr>
                <w:rFonts w:ascii="Arial" w:cs="Arial" w:eastAsia="Arial" w:hAnsi="Arial"/>
                <w:sz w:val="14"/>
                <w:szCs w:val="14"/>
                <w:color w:val="auto"/>
              </w:rPr>
              <w:t>0.04</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US$</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0.76</w:t>
            </w:r>
          </w:p>
        </w:tc>
      </w:tr>
      <w:tr>
        <w:trPr>
          <w:trHeight w:val="155"/>
        </w:trPr>
        <w:tc>
          <w:tcPr>
            <w:tcW w:w="4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Amount of dilution in net tangible book value to new investors in</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05"/>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this offering</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US$</w:t>
            </w: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0.81</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16.24</w:t>
            </w:r>
          </w:p>
        </w:tc>
      </w:tr>
    </w:tbl>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pro forma information discussed above is illustrative only.</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29" w:name="page130"/>
    <w:bookmarkEnd w:id="12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following table summarizes, on a pro forma basis as of December 31, 2025, the differences between the existing shareholders and the new investors with respect to the number of ordinary shares purchased from us in this offering, the total consideration paid and the average price per ordinary share paid at the initial public offering price of US$17.00 per ADS, before deducting underwriting discounts and commissions and estimated offering expenses. The total number of ordinary shares does not include 9,000,000 ordinary shares underlying the 450,000 ADSs issuable upon the exercise of the over-allotment option granted to the underwriters.</w:t>
      </w:r>
    </w:p>
    <w:p>
      <w:pPr>
        <w:spacing w:after="0" w:line="17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16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rPr>
              <w:t>Total Consideration</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60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Ordinary shares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Price Per</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5"/>
        </w:trPr>
        <w:tc>
          <w:tcPr>
            <w:tcW w:w="1620" w:type="dxa"/>
            <w:vAlign w:val="bottom"/>
          </w:tcPr>
          <w:p>
            <w:pPr>
              <w:spacing w:after="0"/>
              <w:rPr>
                <w:sz w:val="10"/>
                <w:szCs w:val="10"/>
                <w:color w:val="auto"/>
              </w:rPr>
            </w:pPr>
          </w:p>
        </w:tc>
        <w:tc>
          <w:tcPr>
            <w:tcW w:w="1080" w:type="dxa"/>
            <w:vAlign w:val="bottom"/>
            <w:gridSpan w:val="3"/>
          </w:tcPr>
          <w:p>
            <w:pPr>
              <w:jc w:val="center"/>
              <w:ind w:left="458"/>
              <w:spacing w:after="0" w:line="125" w:lineRule="exact"/>
              <w:rPr>
                <w:sz w:val="20"/>
                <w:szCs w:val="20"/>
                <w:color w:val="auto"/>
              </w:rPr>
            </w:pPr>
            <w:r>
              <w:rPr>
                <w:rFonts w:ascii="Arial" w:cs="Arial" w:eastAsia="Arial" w:hAnsi="Arial"/>
                <w:sz w:val="11"/>
                <w:szCs w:val="11"/>
                <w:b w:val="1"/>
                <w:bCs w:val="1"/>
                <w:color w:val="auto"/>
                <w:w w:val="99"/>
              </w:rPr>
              <w:t>Purchased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Amount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25" w:lineRule="exact"/>
              <w:rPr>
                <w:sz w:val="20"/>
                <w:szCs w:val="20"/>
                <w:color w:val="auto"/>
              </w:rPr>
            </w:pPr>
            <w:r>
              <w:rPr>
                <w:rFonts w:ascii="Arial" w:cs="Arial" w:eastAsia="Arial" w:hAnsi="Arial"/>
                <w:sz w:val="11"/>
                <w:szCs w:val="11"/>
                <w:b w:val="1"/>
                <w:bCs w:val="1"/>
                <w:color w:val="auto"/>
              </w:rPr>
              <w:t>Ordinary</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Price Per</w:t>
            </w:r>
          </w:p>
        </w:tc>
        <w:tc>
          <w:tcPr>
            <w:tcW w:w="0" w:type="dxa"/>
            <w:vAlign w:val="bottom"/>
          </w:tcPr>
          <w:p>
            <w:pPr>
              <w:spacing w:after="0"/>
              <w:rPr>
                <w:sz w:val="1"/>
                <w:szCs w:val="1"/>
                <w:color w:val="auto"/>
              </w:rPr>
            </w:pPr>
          </w:p>
        </w:tc>
      </w:tr>
      <w:tr>
        <w:trPr>
          <w:trHeight w:val="52"/>
        </w:trPr>
        <w:tc>
          <w:tcPr>
            <w:tcW w:w="16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00" w:type="dxa"/>
            <w:vAlign w:val="bottom"/>
            <w:gridSpan w:val="2"/>
            <w:vMerge w:val="restart"/>
          </w:tcPr>
          <w:p>
            <w:pPr>
              <w:jc w:val="center"/>
              <w:ind w:right="80"/>
              <w:spacing w:after="0" w:line="114" w:lineRule="exact"/>
              <w:rPr>
                <w:sz w:val="20"/>
                <w:szCs w:val="20"/>
                <w:color w:val="auto"/>
              </w:rPr>
            </w:pPr>
            <w:r>
              <w:rPr>
                <w:rFonts w:ascii="Arial" w:cs="Arial" w:eastAsia="Arial" w:hAnsi="Arial"/>
                <w:sz w:val="11"/>
                <w:szCs w:val="11"/>
                <w:b w:val="1"/>
                <w:bCs w:val="1"/>
                <w:color w:val="auto"/>
                <w:w w:val="99"/>
              </w:rPr>
              <w:t>(in thousands</w:t>
            </w: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720" w:type="dxa"/>
            <w:vAlign w:val="bottom"/>
            <w:gridSpan w:val="2"/>
            <w:vMerge w:val="restart"/>
          </w:tcPr>
          <w:p>
            <w:pPr>
              <w:jc w:val="center"/>
              <w:ind w:right="80"/>
              <w:spacing w:after="0" w:line="114" w:lineRule="exact"/>
              <w:rPr>
                <w:sz w:val="20"/>
                <w:szCs w:val="20"/>
                <w:color w:val="auto"/>
              </w:rPr>
            </w:pPr>
            <w:r>
              <w:rPr>
                <w:rFonts w:ascii="Arial" w:cs="Arial" w:eastAsia="Arial" w:hAnsi="Arial"/>
                <w:sz w:val="11"/>
                <w:szCs w:val="11"/>
                <w:b w:val="1"/>
                <w:bCs w:val="1"/>
                <w:color w:val="auto"/>
              </w:rPr>
              <w:t>Share</w:t>
            </w:r>
          </w:p>
        </w:tc>
        <w:tc>
          <w:tcPr>
            <w:tcW w:w="680" w:type="dxa"/>
            <w:vAlign w:val="bottom"/>
            <w:vMerge w:val="restart"/>
          </w:tcPr>
          <w:p>
            <w:pPr>
              <w:jc w:val="center"/>
              <w:spacing w:after="0" w:line="114" w:lineRule="exact"/>
              <w:rPr>
                <w:sz w:val="20"/>
                <w:szCs w:val="20"/>
                <w:color w:val="auto"/>
              </w:rPr>
            </w:pPr>
            <w:r>
              <w:rPr>
                <w:rFonts w:ascii="Arial" w:cs="Arial" w:eastAsia="Arial" w:hAnsi="Arial"/>
                <w:sz w:val="11"/>
                <w:szCs w:val="11"/>
                <w:b w:val="1"/>
                <w:bCs w:val="1"/>
                <w:color w:val="auto"/>
              </w:rPr>
              <w:t>ADS</w:t>
            </w:r>
          </w:p>
        </w:tc>
        <w:tc>
          <w:tcPr>
            <w:tcW w:w="0" w:type="dxa"/>
            <w:vAlign w:val="bottom"/>
          </w:tcPr>
          <w:p>
            <w:pPr>
              <w:spacing w:after="0"/>
              <w:rPr>
                <w:sz w:val="1"/>
                <w:szCs w:val="1"/>
                <w:color w:val="auto"/>
              </w:rPr>
            </w:pPr>
          </w:p>
        </w:tc>
      </w:tr>
      <w:tr>
        <w:trPr>
          <w:trHeight w:val="42"/>
        </w:trPr>
        <w:tc>
          <w:tcPr>
            <w:tcW w:w="1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6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Number</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w w:val="94"/>
              </w:rPr>
              <w:t>Percent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US$)</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Percent</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US$</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US$</w:t>
            </w: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Existing shareholders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941,449,847</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1,239,651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Arial" w:cs="Arial" w:eastAsia="Arial" w:hAnsi="Arial"/>
                <w:sz w:val="14"/>
                <w:szCs w:val="14"/>
                <w:color w:val="auto"/>
              </w:rPr>
              <w:t>New investors</w:t>
            </w:r>
          </w:p>
        </w:tc>
        <w:tc>
          <w:tcPr>
            <w:tcW w:w="900" w:type="dxa"/>
            <w:vAlign w:val="bottom"/>
          </w:tcPr>
          <w:p>
            <w:pPr>
              <w:jc w:val="right"/>
              <w:spacing w:after="0"/>
              <w:rPr>
                <w:sz w:val="20"/>
                <w:szCs w:val="20"/>
                <w:color w:val="auto"/>
              </w:rPr>
            </w:pPr>
            <w:r>
              <w:rPr>
                <w:rFonts w:ascii="Arial" w:cs="Arial" w:eastAsia="Arial" w:hAnsi="Arial"/>
                <w:sz w:val="14"/>
                <w:szCs w:val="14"/>
                <w:color w:val="auto"/>
              </w:rPr>
              <w:t>60,000,000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51,000</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0.85</w:t>
            </w:r>
          </w:p>
        </w:tc>
        <w:tc>
          <w:tcPr>
            <w:tcW w:w="68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w:t>
            </w: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2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1,001,449,847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1,290,651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The discussion and tables above also assume no exercise of: (i) any share options outstanding under the 2023 Plan as of the date of this prospectus; and (ii) the Yunyang Warrants. As of the date of this prospectus, there are 94,715,674 Class A ordinary shares issuable upon exercise of outstanding share options, and there are a total of 772,079 Class A ordinary shares available for future issuance upon the exercise of grants under the 2023 Plan. As of the same date, Yunyang Warrants to purchase 1,796,348 ordinary shares remain outstanding. To the extent that any of these share options and warrants are exercised, there will be further dilution to new investors in our company.</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0" w:name="page131"/>
    <w:bookmarkEnd w:id="13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ENFORCEABILITY OF CIVIL LIABILITIES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Cayman Islands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are incorporated under the laws of the Cayman Islands as an exempted company with limited liability. We are incorporated in the Cayman Islands because of certain benefits associated with being a Cayman Islands exempted company, such as:</w:t>
      </w:r>
    </w:p>
    <w:p>
      <w:pPr>
        <w:spacing w:after="0" w:line="76" w:lineRule="exact"/>
        <w:rPr>
          <w:sz w:val="20"/>
          <w:szCs w:val="20"/>
          <w:color w:val="auto"/>
        </w:rPr>
      </w:pPr>
    </w:p>
    <w:p>
      <w:pPr>
        <w:ind w:left="1800" w:hanging="136"/>
        <w:spacing w:after="0"/>
        <w:tabs>
          <w:tab w:leader="none" w:pos="1800" w:val="left"/>
        </w:tabs>
        <w:numPr>
          <w:ilvl w:val="0"/>
          <w:numId w:val="53"/>
        </w:numPr>
        <w:rPr>
          <w:rFonts w:ascii="Arial" w:cs="Arial" w:eastAsia="Arial" w:hAnsi="Arial"/>
          <w:sz w:val="11"/>
          <w:szCs w:val="11"/>
          <w:color w:val="auto"/>
        </w:rPr>
      </w:pPr>
      <w:r>
        <w:rPr>
          <w:rFonts w:ascii="Arial" w:cs="Arial" w:eastAsia="Arial" w:hAnsi="Arial"/>
          <w:sz w:val="14"/>
          <w:szCs w:val="14"/>
          <w:color w:val="auto"/>
        </w:rPr>
        <w:t>political and economic stability;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3"/>
        </w:numPr>
        <w:rPr>
          <w:rFonts w:ascii="Arial" w:cs="Arial" w:eastAsia="Arial" w:hAnsi="Arial"/>
          <w:sz w:val="11"/>
          <w:szCs w:val="11"/>
          <w:color w:val="auto"/>
        </w:rPr>
      </w:pPr>
      <w:r>
        <w:rPr>
          <w:rFonts w:ascii="Arial" w:cs="Arial" w:eastAsia="Arial" w:hAnsi="Arial"/>
          <w:sz w:val="14"/>
          <w:szCs w:val="14"/>
          <w:color w:val="auto"/>
        </w:rPr>
        <w:t>an effective judicial system;</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53"/>
        </w:numPr>
        <w:rPr>
          <w:rFonts w:ascii="Arial" w:cs="Arial" w:eastAsia="Arial" w:hAnsi="Arial"/>
          <w:sz w:val="11"/>
          <w:szCs w:val="11"/>
          <w:color w:val="auto"/>
        </w:rPr>
      </w:pPr>
      <w:r>
        <w:rPr>
          <w:rFonts w:ascii="Arial" w:cs="Arial" w:eastAsia="Arial" w:hAnsi="Arial"/>
          <w:sz w:val="14"/>
          <w:szCs w:val="14"/>
          <w:color w:val="auto"/>
        </w:rPr>
        <w:t>a favorable tax system;</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3"/>
        </w:numPr>
        <w:rPr>
          <w:rFonts w:ascii="Arial" w:cs="Arial" w:eastAsia="Arial" w:hAnsi="Arial"/>
          <w:sz w:val="11"/>
          <w:szCs w:val="11"/>
          <w:color w:val="auto"/>
        </w:rPr>
      </w:pPr>
      <w:r>
        <w:rPr>
          <w:rFonts w:ascii="Arial" w:cs="Arial" w:eastAsia="Arial" w:hAnsi="Arial"/>
          <w:sz w:val="14"/>
          <w:szCs w:val="14"/>
          <w:color w:val="auto"/>
        </w:rPr>
        <w:t>the absence of exchange control or currency restrictions; and</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53"/>
        </w:numPr>
        <w:rPr>
          <w:rFonts w:ascii="Arial" w:cs="Arial" w:eastAsia="Arial" w:hAnsi="Arial"/>
          <w:sz w:val="11"/>
          <w:szCs w:val="11"/>
          <w:color w:val="auto"/>
        </w:rPr>
      </w:pPr>
      <w:r>
        <w:rPr>
          <w:rFonts w:ascii="Arial" w:cs="Arial" w:eastAsia="Arial" w:hAnsi="Arial"/>
          <w:sz w:val="14"/>
          <w:szCs w:val="14"/>
          <w:color w:val="auto"/>
        </w:rPr>
        <w:t>the availability of professional and support services.</w:t>
      </w:r>
    </w:p>
    <w:p>
      <w:pPr>
        <w:spacing w:after="0" w:line="98"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However, certain disadvantages accompany incorporation in the Cayman Islands. These disadvantages include, but are not limited to, the following:</w:t>
      </w:r>
    </w:p>
    <w:p>
      <w:pPr>
        <w:spacing w:after="0" w:line="62" w:lineRule="exact"/>
        <w:rPr>
          <w:sz w:val="20"/>
          <w:szCs w:val="20"/>
          <w:color w:val="auto"/>
        </w:rPr>
      </w:pPr>
    </w:p>
    <w:p>
      <w:pPr>
        <w:ind w:left="1800" w:right="1398" w:hanging="136"/>
        <w:spacing w:after="0" w:line="271" w:lineRule="auto"/>
        <w:tabs>
          <w:tab w:leader="none" w:pos="1804" w:val="left"/>
        </w:tabs>
        <w:numPr>
          <w:ilvl w:val="0"/>
          <w:numId w:val="54"/>
        </w:numPr>
        <w:rPr>
          <w:rFonts w:ascii="Arial" w:cs="Arial" w:eastAsia="Arial" w:hAnsi="Arial"/>
          <w:sz w:val="11"/>
          <w:szCs w:val="11"/>
          <w:color w:val="auto"/>
        </w:rPr>
      </w:pPr>
      <w:r>
        <w:rPr>
          <w:rFonts w:ascii="Arial" w:cs="Arial" w:eastAsia="Arial" w:hAnsi="Arial"/>
          <w:sz w:val="14"/>
          <w:szCs w:val="14"/>
          <w:color w:val="auto"/>
        </w:rPr>
        <w:t>the Cayman Islands has a less developed body of securities laws as compared to the United States and these securities laws provide significantly less protection to investors; and</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54"/>
        </w:numPr>
        <w:rPr>
          <w:rFonts w:ascii="Arial" w:cs="Arial" w:eastAsia="Arial" w:hAnsi="Arial"/>
          <w:sz w:val="11"/>
          <w:szCs w:val="11"/>
          <w:color w:val="auto"/>
        </w:rPr>
      </w:pPr>
      <w:r>
        <w:rPr>
          <w:rFonts w:ascii="Arial" w:cs="Arial" w:eastAsia="Arial" w:hAnsi="Arial"/>
          <w:sz w:val="14"/>
          <w:szCs w:val="14"/>
          <w:color w:val="auto"/>
        </w:rPr>
        <w:t>Cayman Islands companies may not have standing to sue before the federal courts of the United States.</w:t>
      </w:r>
    </w:p>
    <w:p>
      <w:pPr>
        <w:spacing w:after="0" w:line="5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fourth amended and restated memorandum and articles of association does not contain provisions requiring that disputes, including those arising under the securities laws of the United States, between us, our officers, directors and shareholders, be arbitrated.</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Substantially all of our operations are conducted in China, and substantially all of our assets are located in China. Currently, all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have appointed Cogency Global Inc. as our agent upon whom process may be served in any action brought against us under the securities laws of the United States.</w:t>
      </w:r>
    </w:p>
    <w:p>
      <w:pPr>
        <w:spacing w:after="0" w:line="5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Maples and Calder (Hong Kong) LLP, our counsel as to Cayman Islands law, and Haiwen &amp; Partners, our counsel as to PRC law, have advised us, respectively, that there is uncertainty as to whether the courts of the Cayman Islands and China, respectively, would:</w:t>
      </w:r>
    </w:p>
    <w:p>
      <w:pPr>
        <w:spacing w:after="0" w:line="76" w:lineRule="exact"/>
        <w:rPr>
          <w:sz w:val="20"/>
          <w:szCs w:val="20"/>
          <w:color w:val="auto"/>
        </w:rPr>
      </w:pPr>
    </w:p>
    <w:p>
      <w:pPr>
        <w:jc w:val="both"/>
        <w:ind w:left="1800" w:right="1398" w:hanging="136"/>
        <w:spacing w:after="0" w:line="251" w:lineRule="auto"/>
        <w:tabs>
          <w:tab w:leader="none" w:pos="1804" w:val="left"/>
        </w:tabs>
        <w:numPr>
          <w:ilvl w:val="0"/>
          <w:numId w:val="55"/>
        </w:numPr>
        <w:rPr>
          <w:rFonts w:ascii="Arial" w:cs="Arial" w:eastAsia="Arial" w:hAnsi="Arial"/>
          <w:sz w:val="11"/>
          <w:szCs w:val="11"/>
          <w:color w:val="auto"/>
        </w:rPr>
      </w:pPr>
      <w:r>
        <w:rPr>
          <w:rFonts w:ascii="Arial" w:cs="Arial" w:eastAsia="Arial" w:hAnsi="Arial"/>
          <w:sz w:val="14"/>
          <w:szCs w:val="14"/>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55"/>
        </w:numPr>
        <w:rPr>
          <w:rFonts w:ascii="Arial" w:cs="Arial" w:eastAsia="Arial" w:hAnsi="Arial"/>
          <w:sz w:val="11"/>
          <w:szCs w:val="11"/>
          <w:color w:val="auto"/>
        </w:rPr>
      </w:pPr>
      <w:r>
        <w:rPr>
          <w:rFonts w:ascii="Arial" w:cs="Arial" w:eastAsia="Arial" w:hAnsi="Arial"/>
          <w:sz w:val="14"/>
          <w:szCs w:val="14"/>
          <w:color w:val="auto"/>
        </w:rPr>
        <w:t>entertain original actions brought in each respective jurisdiction against us or our directors or officers predicated upon the securities laws of the United States or any state in the United States.</w:t>
      </w:r>
    </w:p>
    <w:p>
      <w:pPr>
        <w:spacing w:after="0" w:line="6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Maples and Calder (Hong Kong) LLP has informed us that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1" w:name="page132"/>
    <w:bookmarkEnd w:id="13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2" w:lineRule="auto"/>
        <w:rPr>
          <w:sz w:val="20"/>
          <w:szCs w:val="20"/>
          <w:color w:val="auto"/>
        </w:rPr>
      </w:pPr>
      <w:r>
        <w:rPr>
          <w:rFonts w:ascii="Arial" w:cs="Arial" w:eastAsia="Arial" w:hAnsi="Arial"/>
          <w:sz w:val="13"/>
          <w:szCs w:val="13"/>
          <w:color w:val="auto"/>
        </w:rPr>
        <w:t>to judgments obtained from U.S. courts under civil liability provisions of U.S. securities laws, it is uncertain whether such judgments would be enforceable in the Cayman Islands. Maples and Calder (Hong Kong) LLP has informed us that although there is no statutory enforcement in the Cayman Islands of judgments obtained in the federal or state courts of the United States (and the Cayman Islands is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 given by a foreign court of competent jurisdiction, (b) imposes on the judgment debtor a liability to pay a liquidated sum for which the judgment has been given, (c) is final,</w:t>
      </w:r>
    </w:p>
    <w:p>
      <w:pPr>
        <w:spacing w:after="0" w:line="3" w:lineRule="exact"/>
        <w:rPr>
          <w:sz w:val="20"/>
          <w:szCs w:val="20"/>
          <w:color w:val="auto"/>
        </w:rPr>
      </w:pPr>
    </w:p>
    <w:p>
      <w:pPr>
        <w:jc w:val="both"/>
        <w:ind w:left="1420" w:right="1398" w:hanging="5"/>
        <w:spacing w:after="0" w:line="234" w:lineRule="auto"/>
        <w:tabs>
          <w:tab w:leader="none" w:pos="16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is not in respect of taxes, a fine or a penalty and (e) was not obtained in a manner and is not of a kind the enforcement of which is contrary to natural justice or the public policy of the Cayman Islands (awards of punitive or multiple damages may well be held to be contrary to public policy).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3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PRC</w:t>
      </w:r>
    </w:p>
    <w:p>
      <w:pPr>
        <w:spacing w:after="0" w:line="109"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have been advised by Haiwen &amp; Partners, our PRC legal advisor, that there is uncertainty as to whether the courts of the PRC would enforce judgments of United States courts or Cayman Islands courts obtained against us or these persons predicated upon the civil liability provisions of the United States federal and state securities laws. Haiwen &amp; Partners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for disputes relating to contracts or other property interests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8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However, it may be difficult for foreign shareholders to establish sufficient nexus to the PRC for a PRC court to have jurisdiction pursuant to the PRC Civil Procedures Law by virtue only of holding the ADSs or Class A ordinary shares.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2" w:name="page133"/>
    <w:bookmarkEnd w:id="13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CORPORATE HISTORY AND STRUCTURE</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Corporate History</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Our current businesses date back to 2012 when we operated through Beijing Souche Network Technology Co., Ltd., or Beijing Souche, a PRC entity incorporated in November 2012. Souche Holdings Ltd, a company incorporated in the Cayman Islands in January 2013, subsequently became the holding company of Beijing Souche. Between 2017 and 2020, Souche Holdings Ltd acquired numerous businesses, such as vehicle inspection and certification services and delivery services, which are important parts of the businesses we operate today. In addition, Souche Holdings Ltd also owned and operated certain vehicle sales and leasing business through a number of other operating entities.</w:t>
      </w:r>
    </w:p>
    <w:p>
      <w:pPr>
        <w:spacing w:after="0" w:line="8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incorporated DSC Holdings Ltd. as our new ultimate holding company in the Cayman Islands in July 2021 and completed a series of transactions, which we refer to collectively as the “Restructuring.” As part of the Restructuring,</w:t>
      </w:r>
    </w:p>
    <w:p>
      <w:pPr>
        <w:spacing w:after="0" w:line="76" w:lineRule="exact"/>
        <w:rPr>
          <w:sz w:val="20"/>
          <w:szCs w:val="20"/>
          <w:color w:val="auto"/>
        </w:rPr>
      </w:pPr>
    </w:p>
    <w:p>
      <w:pPr>
        <w:jc w:val="both"/>
        <w:ind w:left="1800" w:right="1398" w:hanging="136"/>
        <w:spacing w:after="0" w:line="245" w:lineRule="auto"/>
        <w:tabs>
          <w:tab w:leader="none" w:pos="1804" w:val="left"/>
        </w:tabs>
        <w:numPr>
          <w:ilvl w:val="0"/>
          <w:numId w:val="57"/>
        </w:numPr>
        <w:rPr>
          <w:rFonts w:ascii="Arial" w:cs="Arial" w:eastAsia="Arial" w:hAnsi="Arial"/>
          <w:sz w:val="11"/>
          <w:szCs w:val="11"/>
          <w:color w:val="auto"/>
        </w:rPr>
      </w:pPr>
      <w:r>
        <w:rPr>
          <w:rFonts w:ascii="Arial" w:cs="Arial" w:eastAsia="Arial" w:hAnsi="Arial"/>
          <w:sz w:val="14"/>
          <w:szCs w:val="14"/>
          <w:color w:val="auto"/>
        </w:rPr>
        <w:t>The shareholders of Souche Holdings Ltd received ordinary shares and/or convertible redeemable preferred shares of DSC Holdings Ltd. such that their equity interests in DSC Holdings Ltd. are in substance the same as their interests in Souche Holdings Ltd immediately prior to the Restructuring;</w:t>
      </w:r>
    </w:p>
    <w:p>
      <w:pPr>
        <w:spacing w:after="0" w:line="68"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57"/>
        </w:numPr>
        <w:rPr>
          <w:rFonts w:ascii="Arial" w:cs="Arial" w:eastAsia="Arial" w:hAnsi="Arial"/>
          <w:sz w:val="11"/>
          <w:szCs w:val="11"/>
          <w:color w:val="auto"/>
        </w:rPr>
      </w:pPr>
      <w:r>
        <w:rPr>
          <w:rFonts w:ascii="Arial" w:cs="Arial" w:eastAsia="Arial" w:hAnsi="Arial"/>
          <w:sz w:val="14"/>
          <w:szCs w:val="14"/>
          <w:color w:val="auto"/>
        </w:rPr>
        <w:t>Through a series of transactions, DSC Holdings Ltd. acquired the ownership and became the ultimate holding company of the entities through which our current businesses are conducted, namely Hangzhou Dasouche Information Technology Service Co., Ltd., CheYiPai (Beijing) Automotive Technology Service Co., Ltd. and Sichuan Dasouche Software Technology Co., Ltd.; and</w:t>
      </w:r>
    </w:p>
    <w:p>
      <w:pPr>
        <w:spacing w:after="0" w:line="84"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57"/>
        </w:numPr>
        <w:rPr>
          <w:rFonts w:ascii="Arial" w:cs="Arial" w:eastAsia="Arial" w:hAnsi="Arial"/>
          <w:sz w:val="11"/>
          <w:szCs w:val="11"/>
          <w:color w:val="auto"/>
        </w:rPr>
      </w:pPr>
      <w:r>
        <w:rPr>
          <w:rFonts w:ascii="Arial" w:cs="Arial" w:eastAsia="Arial" w:hAnsi="Arial"/>
          <w:sz w:val="14"/>
          <w:szCs w:val="14"/>
          <w:color w:val="auto"/>
        </w:rPr>
        <w:t>Hangzhou Dasouche Information Technology Service Co., Ltd. and CheYiPai (Beijing) Automotive Technology Service Co., Ltd., which we refer to as WFOEs, have entered into certain contractual arrangements directly with Hangzhou Souche and Beijing Peak, which we refer to as the “VIEs,” and their respective shareholders. See “Corporate History and Structure — Contractual Arrangements with the VIEs and Their Shareholders.”</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Following the Restructuring: (i) DSC Holdings Ltd. became the ultimate holding company of our current business operations; and (ii) the vehicle sales and leasing business remains to be owned and operated by Souche Holdings Ltd.</w:t>
      </w:r>
    </w:p>
    <w:p>
      <w:pPr>
        <w:spacing w:after="0" w:line="6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shareholding percentages and rights of the shareholders of DSC Holdings Ltd. are identical to their interests in Souche Holdings Ltd immediately before and after the Restructuring. Accordingly, the Restructuring is accounted for as a transaction involving common ownership for financial reporting purposes because the same group of shareholders have identical ownership over the Company before and after the Restructuring.</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August 2023, DSC Holdings Ltd. completed its Series G financing pursuant to which CTZC Limited purchased 24,422,238 Series G preferred shares for a total consideration of RMB300 million. For a description of issuances of our securities, see “Description of Share Capital — History of Securities Issuances.”</w:t>
      </w:r>
    </w:p>
    <w:p>
      <w:pPr>
        <w:spacing w:after="0" w:line="7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November 2024, DSC Holdings Ltd. entered into agreements to dispose its equity interests in its PRC subsidiaries operating financial product referral services to Zhejiang Dasouche Boxin Auto Sales Co., Ltd., a wholly owned subsidiary of Souche Holdings Ltd. The transaction was closed in December 2024.</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3" w:name="page134"/>
    <w:bookmarkEnd w:id="13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Corporate Structure</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diagram illustrates our corporate structure, including our significant subsidiaries as that term is defined under Section 1-02 of Regulation S-X under the Securities Act, the VIEs and certain other operating entities,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60325</wp:posOffset>
            </wp:positionV>
            <wp:extent cx="3946525" cy="1436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46525" cy="143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2040" w:right="1398" w:hanging="663"/>
        <w:spacing w:after="0" w:line="249" w:lineRule="auto"/>
        <w:tabs>
          <w:tab w:leader="none" w:pos="2020" w:val="left"/>
        </w:tabs>
        <w:rPr>
          <w:sz w:val="20"/>
          <w:szCs w:val="20"/>
          <w:color w:val="auto"/>
        </w:rPr>
      </w:pPr>
      <w:r>
        <w:rPr>
          <w:rFonts w:ascii="Arial" w:cs="Arial" w:eastAsia="Arial" w:hAnsi="Arial"/>
          <w:sz w:val="11"/>
          <w:szCs w:val="11"/>
          <w:color w:val="auto"/>
        </w:rPr>
        <w:t>Notes: (1)</w:t>
        <w:tab/>
        <w:t>The shareholders of Hangzhou Souche Network Technology Co., Ltd. are Mr. Junhong Yao (92%), our founder, director and chief executive officer, and Mr. Liyu Zhang (8%), one of our co-founders.</w:t>
      </w:r>
    </w:p>
    <w:p>
      <w:pPr>
        <w:spacing w:after="0" w:line="1" w:lineRule="exact"/>
        <w:rPr>
          <w:sz w:val="20"/>
          <w:szCs w:val="20"/>
          <w:color w:val="auto"/>
        </w:rPr>
      </w:pPr>
    </w:p>
    <w:p>
      <w:pPr>
        <w:ind w:left="2040" w:hanging="265"/>
        <w:spacing w:after="0"/>
        <w:tabs>
          <w:tab w:leader="none" w:pos="20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shareholders of Beijing Peak Technology Co., Ltd. are Mr. Junhong Yao (92%) and Mr. Liyu Zhang (8%).</w:t>
      </w:r>
    </w:p>
    <w:p>
      <w:pPr>
        <w:spacing w:after="0" w:line="14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Contractual Arrangements with the VIEs and Their Shareholders</w:t>
      </w:r>
    </w:p>
    <w:p>
      <w:pPr>
        <w:spacing w:after="0" w:line="9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Hangzhou Dasouche Information Technology Service Co., Ltd. and CheYiPai (Beijing) Automotive Technology Service Co., Ltd., our PRC subsidiaries, are considered foreign-invested enterprises. Current PRC laws and regulations impose certain restrictions or prohibitions on foreign ownership of companies that engage in value-added telecommunications services and certain other businesses. We are an exempted company incorporated in the Cayman Islands. To comply with PRC laws and regulations, we conduct a substantial portion of our business in China through the VIEs, namely, Hangzhou Souche and Beijing Peak, based on a series of contractual arrangements. These contractual arrangements give us the power to direct the activities that most significantly affect the economic performance of the VIEs, allow us to receive substantially all of the economic benefits of the VIEs and have an exclusive call option to purchase all or part of the equity interests in and/or assets of the VIEs when and to the extent permitted by the relevant laws. As a result of these contractual arrangements, we are considered the primary beneficiary of the VIEs, and therefore combine or consolidate the operating results of the VIEs and their subsidiaries in our financial statements under the U.S. GAAP.</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following is a summary of the principal terms of the contractual arrangements by and among our WFOEs, the VIEs and the shareholders of the VIEs. For the complete text of these contractual arrangements, see the copies filed as exhibits to the registration statement filed with the SEC of which this prospectus forms a part.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Exclusive Business Cooperation Agreements</w:t>
      </w:r>
    </w:p>
    <w:p>
      <w:pPr>
        <w:spacing w:after="0" w:line="107"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Pursuant to the exclusive business cooperation agreements between our WFOEs and the VIEs, our WFOEs have the exclusive right to provide or designate other parties to provide the VIEs with services related to, among other things, technical services, network support, business consultations, equipment or leasing, marketing consultancy, system integration, product research and development and system maintenance. The VIEs agree not to accept any services provided by any third party or cooperate with any third party regarding the matters ascribed by the exclusive business cooperation agreements without the prior written consent of the WFOEs. The VIEs also agree to pay our WFOEs</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4" w:name="page135"/>
    <w:bookmarkEnd w:id="13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services fees, the amount of which will be determined, in accordance with applicable PRC laws and pursuant to the provision of the exclusive business cooperation agreements, from time to time, at the sole discretion of the Company’s WFOEs, taking into account multiple factors, including the profit before taxation, working capital requirements, expenses and taxes and operating profit of the VIEs. Our WFOEs have exclusive and proprietary rights and interests in all rights, ownership, interests and intellectual properties created as a result of the performance of the exclusive business cooperation agreements. The exclusive business cooperation agreements will remain effective for an infinite term while our WFOEs have the right to terminate the agreements in writing.</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Exclusive Equity Interest Option Agreements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Pursuant to the exclusive equity interest option agreements by and among our WFOEs, the VIEs and the VIEs’ shareholders, each shareholder of the VIEs has granted an irrevocable and exclusive right to the corresponding WFOEs to purchase or designate one or more persons to purchase their equity interests in the VIEs at any time in part or in whole, at the sole and absolute discretion of the WFOEs, to the extent permitted under PRC law. The purchase price for the equity interests in the VIEs will be the lower of the total capital contribution to the registered capital of the VIEs multiplied by the percentage of equity interests in the VIEs being purchased and the lowest price allowed under PRC law. In the event that the purchase price is higher than RMB1, the shareholders of each of the VIEs agree that any and all proceeds acquired by such shareholders as a result of the exercise of the exclusive right to purchase under the applicable exclusive equity interest option agreements by the respective WFOEs or their designee(s) shall be gifted without compensation to such WFOEs or, as requested by such WFOEs, to their designee(s) in full.</w:t>
      </w:r>
    </w:p>
    <w:p>
      <w:pPr>
        <w:spacing w:after="0" w:line="90"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VIEs and the shareholders of the VIEs jointly and severally covenant that, without prior written consent of our WFOEs, they will not, among others, (1) sell, transfer, create or dispose of any pledge or encumbrance on any equity, assets or business of the VIEs, (2) increase or decrease the VIEs’ registered capital, change its structure of registered capital or amend the VIEs’ articles of association, (3) vote in favor of any shareholder resolution to declare or distribute any dividends or other distributions, and if dividends or other form of assets were distributed, the shareholders are required to transfer all received distribution to the WFOEs or their designees, (4) merge with or acquire another entity or make any investments, (5) enter into any material contracts outside of the ordinary course of business, (6) allow the VIEs to incur any borrowings or loans or guarantees in any form or (7) appoint or replace any directors or management which shall be appointed/terminated by the WFOEs to operates the VIEs. The exclusive equity interest option agreements will remain in effect for a term of ten years unless they are terminated in accordance with the provisions of this exclusive equity interest option agreement or relevant agreements separately executed among our WFOEs, the VIEs and the VIEs’ shareholders. At the end of the term, unless the WFOEs decide not to extend the term and provide written notice to the VIEs and the shareholders of the VIEs at least 30 days before the end of the term, the term will be extended an unlimited number of times, with each extension being for a term of five years.</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 Pledge Agreements</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Pursuant to the share pledge agreements by and among our WFOEs, the VIEs and the VIEs’ shareholders, the shareholders of the VIEs have pledged all of their respective equity interests in the VIEs (the “Pledge”) to our WFOEs as security for performance of the obligations of the VIEs and their shareholders under the contractual arrangements through which we consociated the results of the VIEs. The term of the Pledge shall end when the last obligation secured by the Pledge is paid or fully fulfilled.</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WFOEs are entitled to collect dividends and distributable profits on the pledged equity during the effective period of the share pledge agreement. After the completion of the equity pledge registrations, in the event of a breach by the VIEs or their shareholders of their obligations under the foregoing contractual agreements, our WFOEs, as the pledgees, will have the right, but are not obligated, to dispose of the pledged equity interests in accordance with the provision of the share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5" w:name="page136"/>
    <w:bookmarkEnd w:id="13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pledge agreements. Once our WFOEs elect to dispose the pledge, the shareholders of the VIEs shall cease to be entitled to any rights or interests associated with the equity interest. The shareholders of the VIEs also agree not to transfer the pledged equity interests, or allow any security interest or other encumbrance on property rights that could affect our WFOEs’ rights and interests in the pledged equity interests, unless approved by our WFOEs in writing during the term of the share pledge agreements.</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Voting Proxy Agreement</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voting proxy agreement by and among our WFOEs, the VIEs and the VIEs’ shareholders, each shareholder of the VIEs has authorized the corresponding WFOE, the directors authorized by the WFOE and its successors, and any liquidator replacing the directors of such WFOE, to exercise on behalf of such shareholder all of his or her rights as a shareholder of the VIEs. These rights include, but are not limited to, the right to propose, convene and attend shareholder meetings, exercise voting rights, designate and appoint legal representatives, directors, supervisors, chief executive officers and other senior management members, sign minutes and file documents with relevant company registries and exercise voting rights on winding up in accordance with PRC laws and the then-effective articles of association of the VIEs. Each voting proxy agreement is irrevocable and remains in effect for as long as the relevant shareholder or its successor(s) continues to own shares in the VIEs.</w:t>
      </w:r>
    </w:p>
    <w:p>
      <w:pPr>
        <w:spacing w:after="0" w:line="13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Individual Shareholder Undertaking</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Pursuant to the individual shareholder undertaking, delivered by each of the shareholder of the VIEs, such shareholder has confirmed and irrevocably covenanted that his equity interests and all the rights or interests attached thereto will be transferred free of charge and unconditionally to the WFOEs or any natural person or legal person designated by the WFOEs in the event of his death or other unforeseen events that render him unable to fulfill his obligations under the contractual arrangements through which we consociated the results of the VIEs. Additionally, each such shareholder has agreed that his spouse does not own and cannot dispose of the equity interests and all the rights or interests attached thereto in the VIEs and has provided certain non-compete undertakings to the Company.</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Spousal Undertaking</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“spousal undertaking” delivered by the spouses of the shareholders of the VIEs, each of such spouses has acknowledged and confirmed the execution of the contractual arrangements through which we consociated the results of the VIEs, and unconditionally and irrevocably agreed that the equity interest and all right or interest attached thereto in the VIEs held by their shareholders shall be disposed of pursuant to the terms of those agreements. In addition, each of such spouses has agreed not to assert any rights over the equity interest and all right or interest attached thereto in the VIEs held by his or her spouses. Furthermore, such spouses have agreed that, in the event that they obtain any equity interest in the VIEs for any reason, they shall be bound by obligations substantially similar to those under the contractual arrangements through which we consociated the results of the VIEs.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Other Agreements That Allow Us to Become Primary Beneficiaries Of The VIEs</w:t>
      </w:r>
    </w:p>
    <w:p>
      <w:pPr>
        <w:spacing w:after="0" w:line="161"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Financial Support Undertaking Letter</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Pursuant to the financial support undertaking letters addressed to the VIEs, we have undertaken to provide unlimited financial support to the VIEs to the extent permissible under the applicable PRC laws and regulations, regardless of whether the VIEs have incurred an operational loss. The financial support can take various forms, including but are not limited to cash transfer, entrusted loans, or borrowings. We will not request repayment of any outstanding loans or borrowings from the VIEs if they or their shareholders do not have sufficient funds or are unable to repay such loans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6" w:name="page137"/>
    <w:bookmarkEnd w:id="13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or borrowings. The letter is effective until the earlier of (i) the date on which all of the equity interests of the VIEs have been acquired by us or our designee and (ii) the date on which we, in our sole and absolute discretion, unilaterally terminate the applicable financial support undertaking letters.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Voting Proxy Agreements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Pursuant to the voting proxy agreement entered into between our company and our WFOEs, our WFOEs irrevocably and unconditionally undertake to exercise their rights under the voting proxy agreements in accordance with our company’s instructions, as may be provided from time to time.</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the opinion of our PRC legal advisor, Haiwen &amp; Partners, the contractual arrangements among our WFOEs, VIEs and their shareholders governed by PRC law are currently valid and binding in accordance with applicable PRC laws and regulations currently in effect.</w:t>
      </w:r>
    </w:p>
    <w:p>
      <w:pPr>
        <w:spacing w:after="0" w:line="6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However, our PRC legal advisor has also advised us that there are uncertainties regarding the interpretation and application of current or future PRC laws and regulations by relevant PRC regulatory authorities. Accordingly, the PRC regulatory authorities may ultimately take a view contrary to or otherwise different from the opinion of our PRC legal advisor. It is uncertain whether any new PRC laws or regulations relating to variable interest entity structures will be adopted or if adopted, what they would provide. If we or the VIEs are regarded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 — Risks Related to Corporate Structure — Uncertainties exist with respect to the interpretation and implementation of the enacted Foreign Investment Law and how it may impact our business, financial condition and results of operations,” “Risk Factors — Risks Related to Corporate Structure — The interpretation and application of current and future PRC laws, regulations, and rules relating to the agreements that establish the VIE structure for our operations in China, including potential future actions by the PRC government, are still evolving, which could affect the enforceability of our contractual arrangements with the VIEs and, consequently, significantly affect our financial condition and results of operations. If the PRC government considers our contractual arrangements, which are governed by PRC law, non-compliant with relevant PRC laws, regulations, and rules, or if these laws, regulations, and rules or the interpretation thereof change in the future, we could be subject to severe penalties or be forced to relinquish our interests in the VIEs,” and “Risk Factors — Risks Related to Our Business and Industry — Failure to obtain licenses, permits and approvals from, or complete filings with, competent regulatory authorities required for our business operations may materially and adversely affect our business, financial condition and results of operations.”</w:t>
      </w:r>
    </w:p>
    <w:p>
      <w:pPr>
        <w:spacing w:after="0" w:line="13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Financial Significance of the VIEs</w:t>
      </w:r>
    </w:p>
    <w:p>
      <w:pPr>
        <w:spacing w:after="0" w:line="10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are a Cayman Islands company and currently conduct substantially all of our business operations in the PRC through the WFOEs and other PRC subsidiaries and the VIEs, as well as their respective subsidiaries. Hangzhou Dasouche Information Technology Service Co., Ltd. and CheYiPai (Beijing) Automotive Technology Service Co., Ltd. conduct their businesses mainly through Hangzhou Souche and Beijing Peak, namely the VIEs, through a series of contractual arrangements. These business operations account for a significant portion of our businesses operated in the PRC. The VIEs and their subsidiaries generated 37.7%, 42.1% and 59.8% of our total revenues in 2023, 2024 and 2025, respectively. As of December 31, 2023, 2024 and 2025, the total current assets and non-current assets of the VIEs and their subsidiaries accounted for 57.5%, 62.3% and 63.9% of our consolidated total assets, respectively. The VIEs also hold certain key licenses and permits that are necessary for us to conduct our business.</w:t>
      </w:r>
    </w:p>
    <w:p>
      <w:pPr>
        <w:spacing w:after="0" w:line="85"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Under PRC law, we may provide funding to our WFOEs and other PRC subsidiaries only through capital contributions or loans, and to the VIEs only through loans, subject to satisfaction of applicable government registration and approval requirements. We rely on dividends and other distributions from our WFOEs and other PRC subsidiaries to satisfy part of our liquidity requirement. Our WFOEs</w:t>
      </w:r>
    </w:p>
    <w:p>
      <w:pPr>
        <w:spacing w:after="0" w:line="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7" w:name="page138"/>
    <w:bookmarkEnd w:id="13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that entered into relevant contractual arrangements with the VIEs enjoy the economic interest in the operations of the VIEs in the form of service fees under the contractual arrangements among such WFOEs, the VIEs, and shareholders of VIEs. For risks relating to the fund flows of our China operations, see “Risk Factors — Risks Related to Doing Business in China —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and “Risk Factors — Risks Related to Corporate Structure — We are a holding company and investors will have ownership in a holding company that does not directly own all of its operation in China. We rely on our WFOEs and other PRC subsidiaries and the VIEs for the operation in PRC. We also rely on dividends and other payments from our WFOEs and other PRC subsidiaries to pay dividends and other cash distributions to our Shareholders, and any limitation on the ability of our WFOEs and other PRC subsidiaries to pay dividends to us could have a material adverse effect on our ability to pay dividends to our shareholders.”</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Transfer of Funds and Other Assets through Our Organization</w:t>
      </w:r>
    </w:p>
    <w:p>
      <w:pPr>
        <w:spacing w:after="0" w:line="10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DSC, our Cayman Islands holding company, may transfer cash to its wholly owned subsidiaries incorporated in the Cayman Islands, the British Virgin Islands, and Hong Kong through capital injections and intra-group loans. Similarly, DSC’s wholly owned subsidiaries in Hong Kong may transfer cash to Hangzhou Dasouche Information Technology Service Co., Ltd. and CheYiPai (Beijing) Automotive Technology Service Co., Ltd., which we refer to collectively as wholly foreign-owned entities in the PRC, or our WFOEs and other PRC subsidiaries, through capital injections and intra-group loans. Cash is also transferred through our organization by way of intra-group transactions to pay for services or goods provided. Additionally, if our WFOEs in the PRC and other PRC subsidiaries, realize accumulated after-tax profits, they may, upon satisfaction of relevant statutory conditions and procedures, pay dividends or distribute earnings to DSC’s Hong Kong subsidiaries as the WFOEs’ shareholders. These Hong Kong subsidiaries may, in turn, transfer cash to their parent companies incorporated in the Cayman Islands or the British Virgin Islands, through dividends or other distributions. With necessary funds, DSC may pay dividends or make other distributions to U.S. investors and service any debt it may have incurred outside of the PRC.</w:t>
      </w:r>
    </w:p>
    <w:p>
      <w:pPr>
        <w:spacing w:after="0" w:line="8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Under current PRC laws and regulations, we are permitted to transfer funds to the VIEs through loans, rather than through capital contributions, since we do not own equity interests in the VIEs. In 2023, 2024 and 2025, the VIEs paid RMB49.7 million, RMB21.0 million and RMB6.9 million (US$1.0 million), respectively, to the WFOEs for certain administrative and delivery services the WFOEs provided to the VIEs, or as intra-group loans provided by the VIEs to the WFOEs to meet their working capital needs. Furthermore, in 2023, 2024 and 2025, the WFOEs transferred funds of RMB18.7 million, RMB6.9 million and nil, respectively, to the VIEs as payment of certain delivery, marketing and customer engagement solutions provided by VIEs to the WFOEs or as intra-group loans provided by the WFOEs to the VIEs to meet their working capital needs. For details, see “Prospectus Summary — Our Summary Combined and Consolidated Financial Data and Operating Data — VIE Consolidation Schedules.” As of the date of this prospectus, none of the WFOEs or our other PRC subsidiaries has paid any dividend or made any distributions to their respective shareholders. DSC has not previously declared or paid any cash dividend or dividend in kind, and has no plan to declare or pay any dividends in the near future. For more details, see “Corporate History and Structure — Transfer of Funds and Other Assets through Our Organization,” “Corporate History and Structure — Regulatory Requirements on Foreign Exchange and the Ability to Transfer Cash Between Entities, Across Borders and to U.S. Investors” and “Corporate History and Structure — Dividends or Distributions Made to the Company and U.S. Investors and Tax Consequences.” We currently have not maintained any cash management policies that dictate the purpose, amount and procedure of cash transfers between the Company, our WFOEs and other PRC subsidiaries, the VIEs or the investors. Rather, the funds can be transferred in accordance with the applicable laws and regulations in the PRC and other jurisdictions.</w:t>
      </w:r>
    </w:p>
    <w:p>
      <w:pPr>
        <w:spacing w:after="0" w:line="10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8" w:name="page139"/>
    <w:bookmarkEnd w:id="13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Dividends or Distributions Made to the Company and U.S. Investors and Tax Consequences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As of the date of this prospectus, our WFOEs and other PRC subsidiaries have not paid any dividends or made any distributions to the Company, and the Company and the VIEs have not paid any dividends or made any distributions to their respective shareholders.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According to the terms of the contractual arrangements that our WFOEs entered into with the VIEs, and the VIEs’ shareholders, our WFOEs have a right to charge the VIEs for services provided to them. These service fees shall be recognized as expenses of the VIEs and their subsidiaries, with a corresponding amount as revenue by our WFOEs and then completely eliminate in consolidation level. For income tax purposes, our WFOEs and VIEs file income tax returns on a separate company basis. The service fees paid are recognized as a tax deduction by VIEs and as revenue by our WFOEs. The PRC’s statutory Enterprise Income Tax (“EIT”) rates is 25%. VIEs and certain their subsidiaries are qualified for preferential EIT rate of 15% or entitled to reduction of taxable income. However, the preferential tax policy is subject to qualification and temporary in nature. It may not be available in a future period when the service fees are really paid.</w:t>
      </w:r>
    </w:p>
    <w:p>
      <w:pPr>
        <w:spacing w:after="0" w:line="87"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Furthermore, in accordance with the PRC Enterprise Income Tax Law, a withholding income tax of 10% is imposed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which could apply to our WFOEs and other PRC subsidiaries. In addition, subject to the passive foreign investment company rules, the gross amount of any distribution that we make to investor with respect to the ADSs or ordinary shares (including any amounts withheld to reflect PRC withholding taxes) will be taxable as a dividend, to the extent paid out of the current or accumulated earnings and profits of us and the VIEs, as determined under United States federal income tax principles. Moreover, if we are considered a PRC tax resident enterprise for tax purposes, any dividends we pay to our overseas shareholders may be regarded as China-sourced income and as a result may be subject to PRC withholding tax. See “Taxation — PRC Taxation” and “Risk Factors — Risks Related to the ADSs and This Offering — If we are classified as a PRC resident enterprise for PRC enterprise income tax purposes, such classification could result in unfavorable tax consequences to us and our non-PRC shareholders and ADS holders.”</w:t>
      </w:r>
    </w:p>
    <w:p>
      <w:pPr>
        <w:spacing w:after="0" w:line="145" w:lineRule="exact"/>
        <w:rPr>
          <w:sz w:val="20"/>
          <w:szCs w:val="20"/>
          <w:color w:val="auto"/>
        </w:rPr>
      </w:pPr>
    </w:p>
    <w:p>
      <w:pPr>
        <w:jc w:val="both"/>
        <w:ind w:left="1420" w:right="1398"/>
        <w:spacing w:after="0" w:line="279" w:lineRule="auto"/>
        <w:rPr>
          <w:sz w:val="20"/>
          <w:szCs w:val="20"/>
          <w:color w:val="auto"/>
        </w:rPr>
      </w:pPr>
      <w:r>
        <w:rPr>
          <w:rFonts w:ascii="Arial" w:cs="Arial" w:eastAsia="Arial" w:hAnsi="Arial"/>
          <w:sz w:val="14"/>
          <w:szCs w:val="14"/>
          <w:b w:val="1"/>
          <w:bCs w:val="1"/>
          <w:color w:val="auto"/>
        </w:rPr>
        <w:t>Regulatory Requirements on Foreign Exchange and the Ability to Transfer Cash Between Entities, Across Borders and to U.S. Investors</w:t>
      </w:r>
    </w:p>
    <w:p>
      <w:pPr>
        <w:spacing w:after="0" w:line="41"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currently have not maintained any cash management policies that dictate the purpose, amount and procedure of cash transfers between the Company, our WFOEs and other PRC subsidiaries, the VIEs, or investors. Rather, the funds can be transferred in accordance with the applicable PRC laws and regulations. We have adopted cash management policies, pursuant to which transfers of funds used for payroll and social security and tax payments among the Company and its subsidiaries are subject to our internal approval process. Furthermore, the funds will be transferred in accordance with the applicable PRC laws and regulations discussed in this prospectus. To the extent our cash in the business is in the PRC or a PRC entity, the funds may not be available to distribute dividends to our investors, or for other use outside of the PRC, due to oversight on or the regulatory requirements and limitations on the ability of us, our subsidiaries, or the VIEs by the PRC government to transfer cash.</w:t>
      </w:r>
    </w:p>
    <w:p>
      <w:pPr>
        <w:spacing w:after="0" w:line="85"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The PRC government exerts oversights, in accordance with applicable laws and regulations, on the convertibility of Renminbi into foreign currencies and, in certain cases, the remittance of currency out of China. The majority of the income of us and the VIEs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39" w:name="page140"/>
    <w:bookmarkEnd w:id="13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and expenditures from trade -related transactions, can be made in foreign currencies without prior approval from SAFE as long as certain procedural requirements are met. Approval from appropriate government authorities is required if Renminbi is converted into foreign currency and remitted out of China to pay capital expenses such as the repayment of loans denominated in foreign currencies. The PRC government may, in accordance with applicable laws and regulations, impose limitations on access to foreign currencies for current account transactions and if this occurs in the future, we may not be able to pay dividends in foreign currencies to our shareholders.</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Relevant PRC laws and regulations permit the PRC companies to pay dividends only out of their retained earnings, if any, as determined in accordance with PRC accounting standards and regulations. Additionally, the Company’s PRC subsidiaries and the VIEs can only distribute dividends upon approval of the shareholders after they have met the PRC requirements for appropriation to the statutory reserves. As a result of these and other PRC laws and regulations, the PRC subsidiaries and the VIEs are restricted to transfer a portion of their net assets to the Company either in the form of dividends, loans or advances.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w:t>
      </w:r>
    </w:p>
    <w:p>
      <w:pPr>
        <w:spacing w:after="0" w:line="9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 a condensed consolidation schedule and combined financial statements depicting the results of operations, financial position and cash flows for DSC and the VIEs, see “Prospectus Summary — Our Summary Combined and Consolidated Financial Data and Operating Data — VIE Consolidation Schedules.”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0" w:name="page141"/>
    <w:bookmarkEnd w:id="14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AND RESULTS OF OPERATIONS</w:t>
      </w:r>
    </w:p>
    <w:p>
      <w:pPr>
        <w:spacing w:after="0" w:line="72"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combined and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and “Information Regarding Forward-Looking Statements” included elsewhere in this prospectus. Our fiscal year ends on December 31. Our combined and consolidated financial statements have been prepared in accordance with U.S. GAAP.</w:t>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Overview</w:t>
      </w:r>
    </w:p>
    <w:p>
      <w:pPr>
        <w:spacing w:after="0" w:line="8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are the AI application infrastructure for China’s used car industry, holding over 90% market share in operating systems for China’s used car dealers since at least 2021, according to CIC. Building on this digital foundation, we further support used car dealers with essential transaction services across their workflows.</w:t>
      </w:r>
    </w:p>
    <w:p>
      <w:pPr>
        <w:spacing w:after="0" w:line="6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Beyond used car dealers, we also work with other auto merchants, including OEMs, authorized dealers and new car brokers. Our services further engage and benefit thousands of dealers’ collaborators, such as inspectors, transporters and other internet platforms, creating an ecosystem with used car dealers at the center.</w:t>
      </w:r>
    </w:p>
    <w:p>
      <w:pPr>
        <w:spacing w:after="0" w:line="5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have executed a clear and focused growth strategy laid out by our founders in 2013:</w:t>
      </w:r>
    </w:p>
    <w:p>
      <w:pPr>
        <w:spacing w:after="0" w:line="88" w:lineRule="exact"/>
        <w:rPr>
          <w:sz w:val="20"/>
          <w:szCs w:val="20"/>
          <w:color w:val="auto"/>
        </w:rPr>
      </w:pPr>
    </w:p>
    <w:p>
      <w:pPr>
        <w:ind w:left="1800" w:right="1398" w:hanging="136"/>
        <w:spacing w:after="0" w:line="271" w:lineRule="auto"/>
        <w:tabs>
          <w:tab w:leader="none" w:pos="1804" w:val="left"/>
        </w:tabs>
        <w:numPr>
          <w:ilvl w:val="0"/>
          <w:numId w:val="59"/>
        </w:numPr>
        <w:rPr>
          <w:rFonts w:ascii="Arial" w:cs="Arial" w:eastAsia="Arial" w:hAnsi="Arial"/>
          <w:sz w:val="11"/>
          <w:szCs w:val="11"/>
          <w:color w:val="auto"/>
        </w:rPr>
      </w:pPr>
      <w:r>
        <w:rPr>
          <w:rFonts w:ascii="Arial" w:cs="Arial" w:eastAsia="Arial" w:hAnsi="Arial"/>
          <w:sz w:val="14"/>
          <w:szCs w:val="14"/>
          <w:color w:val="auto"/>
        </w:rPr>
        <w:t>First, transform used car dealers’ daily operations through digitalization, significantly reducing inefficiencies; and</w:t>
      </w:r>
    </w:p>
    <w:p>
      <w:pPr>
        <w:spacing w:after="0" w:line="51"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59"/>
        </w:numPr>
        <w:rPr>
          <w:rFonts w:ascii="Arial" w:cs="Arial" w:eastAsia="Arial" w:hAnsi="Arial"/>
          <w:sz w:val="11"/>
          <w:szCs w:val="11"/>
          <w:color w:val="auto"/>
        </w:rPr>
      </w:pPr>
      <w:r>
        <w:rPr>
          <w:rFonts w:ascii="Arial" w:cs="Arial" w:eastAsia="Arial" w:hAnsi="Arial"/>
          <w:sz w:val="14"/>
          <w:szCs w:val="14"/>
          <w:color w:val="auto"/>
        </w:rPr>
        <w:t>Second, leveraging the data and dealer connections from our digitalization solutions, provide essential transaction services, including AI applications, to further enhance their efficiency and profitability.</w:t>
      </w:r>
    </w:p>
    <w:p>
      <w:pPr>
        <w:spacing w:after="0" w:line="55"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 xml:space="preserve">We have provided the industry with what was historically unavailable and transformed hundreds of thousands of dealers’ inefficient manual processes with digitalized and integrated solutions. In the used car space, we provide cloud-based, modular digitalization solutions to used car dealers. </w:t>
      </w:r>
      <w:r>
        <w:rPr>
          <w:rFonts w:ascii="Arial" w:cs="Arial" w:eastAsia="Arial" w:hAnsi="Arial"/>
          <w:sz w:val="13"/>
          <w:szCs w:val="13"/>
          <w:i w:val="1"/>
          <w:iCs w:val="1"/>
          <w:color w:val="auto"/>
        </w:rPr>
        <w:t>DaFengChe</w:t>
      </w:r>
      <w:r>
        <w:rPr>
          <w:rFonts w:ascii="Arial" w:cs="Arial" w:eastAsia="Arial" w:hAnsi="Arial"/>
          <w:sz w:val="13"/>
          <w:szCs w:val="13"/>
          <w:color w:val="auto"/>
        </w:rPr>
        <w:t>, our flagship solution, laid the foundation for our competitive advantage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sustained expansion of our service offering In the new car space, we build customer engagement systems and applications for OEMs, including storefront management systems, customer-facing mobile applications and mini-programs. For new car brokers, we offer an integrated operating system and listing platform that addresses both their daily management and inventory sourcing needs.</w:t>
      </w:r>
    </w:p>
    <w:p>
      <w:pPr>
        <w:spacing w:after="0" w:line="5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Leveraging the data, insight and connections we have built within China’s used car ecosystem, we offer used car dealers and their collaborators several essential transaction services that are easier to access and higher in quality, currently including B2B transaction facilitation, used car inspection and certification, and delivery services. Our delivery services also serve OEM clients with single-car delivery needs.</w:t>
      </w:r>
    </w:p>
    <w:p>
      <w:pPr>
        <w:spacing w:after="0" w:line="7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integration of digitalization solutions and transaction services has created a uniquely strong bond between us and used car dealers. It also powers a self-reinforcing flywheel, in which our digital foundation provides high-frequency user engagement, data-driven insight and an industry-wide AI application infrastructure, while our transaction services deliver volume -driven revenue growth, deeper insight into dealers’ operations and stronger user stickiness — all of which in turn strengthens the digital foundation.</w:t>
      </w:r>
    </w:p>
    <w:p>
      <w:pPr>
        <w:spacing w:after="0" w:line="6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total revenues increased by 4.3% from RMB909.0 million in 2023 to RMB948.2 million in 2024, and then decreased by 28.6% to RMB677.1 million (US$96.8 million) in 2025. The decrease in 2025 was primarily attributable to the Disposition in December 2024. We had net losses of RMB186.6 million, RMB157.1 million and RMB94.6 million (US$13.5 million) in 2023, 2024 and</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1" w:name="page142"/>
    <w:bookmarkEnd w:id="14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2025, respectively. We recorded adjusted net loss of RMB159.5 million, RMB134.8 million and RMB71.4 million (US$ 10.2 million) in 2023, 2024 and 2025, respectively. For a reconciliation of adjusted net loss to net loss, see “— Non-GAAP Financial Measure.”</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Disposition of Financial Product Referral Services</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offered financial product referral services, whereby we connect financial institutions directly with used car dealers, who would recommend financial products, namely, used car loans, to their customers. We received commissions from the financial institutions based on the loan amounts achieved through such used car dealers that we connected for them. We did not participate in assessing any consumer’s creditworthiness for receiving a loan, did not enter into any contract with consumers, did not receive any loan proceeds in our cash flows, and did not bear any responsibility for the ultimate performance of the loans.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After careful assessment, management concluded in the fourth quarter of 2024 that continuing to provide financial product referral services would consume significant management attention and resources, presenting uncertainties that may outweigh potential benefits. In November 2024, we entered into agreements with Zhejiang Dasouche Boxin Auto Sales Co., Ltd. (the “Acquirer”), a wholly owned subsidiary of Souche Holdings Ltd, to sell all of our equity interests in the PRC entities operating the financial product referral services to the Acquirer for an aggregate consideration of RMB180.3 million (the “Disposition”). The transaction was closed in December 2024. Following the Disposition, we no longer offer financial product referral services, and the primary assets of the PRC entities operating the financial product referral services, including the business cooperation agreements with financial institutions, were transferred to the Acquirer.</w:t>
      </w:r>
    </w:p>
    <w:p>
      <w:pPr>
        <w:spacing w:after="0" w:line="8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Disposition reflects our decision to better allocate corporate resources to serve the essential needs of used car dealers. As part of our long-term strategy, we continuously evaluate market conditions and regulatory landscape, and adjust our business portfolio to stay competitive and responsive to industry changes. We do not consider the Disposition to be a strategic shift as we remain committed to enabling and empowering auto merchants by providing digitalization solutions and various types of transaction services.</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2023 and 2024, the gross loan amounts through our financial product referral services were RMB2,732.0 million and RMB3,934.0 million, respectively. Driven by the increase in the gross loan amounts referred, the revenue generated from financial product referral services have also increased, amounting to RMB233.8 million and RMB256.4 million, representing 25.7% and 27.0% of our total revenues, in 2023 and 2024, respectively.</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Key Factors Affecting Our Results of Operations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General Factors Affecting Our Results of Operations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results of operations are influenced by general factors affecting the overall growth and prosperity of China’s auto commerce industry, including:</w:t>
      </w:r>
    </w:p>
    <w:p>
      <w:pPr>
        <w:spacing w:after="0" w:line="62" w:lineRule="exact"/>
        <w:rPr>
          <w:sz w:val="20"/>
          <w:szCs w:val="20"/>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China’s overall economic growth;</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China’s car parc level and demand for used and new cars;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 growth of China’s auto commerce industry;</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 increasing adoption and acceptance of digitalization solutions by industry participants;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the growth of industry participants’ businesses and changes in their spending patterns;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60"/>
        </w:numPr>
        <w:rPr>
          <w:rFonts w:ascii="Arial" w:cs="Arial" w:eastAsia="Arial" w:hAnsi="Arial"/>
          <w:sz w:val="11"/>
          <w:szCs w:val="11"/>
          <w:color w:val="auto"/>
        </w:rPr>
      </w:pPr>
      <w:r>
        <w:rPr>
          <w:rFonts w:ascii="Arial" w:cs="Arial" w:eastAsia="Arial" w:hAnsi="Arial"/>
          <w:sz w:val="14"/>
          <w:szCs w:val="14"/>
          <w:color w:val="auto"/>
        </w:rPr>
        <w:t>increasing marketing demand for diverse transaction services; and</w:t>
      </w:r>
    </w:p>
    <w:p>
      <w:pPr>
        <w:spacing w:after="0" w:line="108" w:lineRule="exact"/>
        <w:rPr>
          <w:rFonts w:ascii="Arial" w:cs="Arial" w:eastAsia="Arial" w:hAnsi="Arial"/>
          <w:sz w:val="11"/>
          <w:szCs w:val="11"/>
          <w:color w:val="auto"/>
        </w:rPr>
      </w:pPr>
    </w:p>
    <w:p>
      <w:pPr>
        <w:ind w:left="1780" w:hanging="116"/>
        <w:spacing w:after="0"/>
        <w:tabs>
          <w:tab w:leader="none" w:pos="1780" w:val="left"/>
        </w:tabs>
        <w:numPr>
          <w:ilvl w:val="0"/>
          <w:numId w:val="60"/>
        </w:numPr>
        <w:rPr>
          <w:rFonts w:ascii="Arial" w:cs="Arial" w:eastAsia="Arial" w:hAnsi="Arial"/>
          <w:sz w:val="11"/>
          <w:szCs w:val="11"/>
          <w:color w:val="auto"/>
        </w:rPr>
      </w:pPr>
      <w:r>
        <w:rPr>
          <w:rFonts w:ascii="Arial" w:cs="Arial" w:eastAsia="Arial" w:hAnsi="Arial"/>
          <w:sz w:val="14"/>
          <w:szCs w:val="14"/>
          <w:color w:val="auto"/>
        </w:rPr>
        <w:t>governmental policies, initiatives and incentives affecting the automobile industry in China.</w:t>
      </w:r>
    </w:p>
    <w:p>
      <w:pPr>
        <w:spacing w:after="0" w:line="129" w:lineRule="exact"/>
        <w:rPr>
          <w:rFonts w:ascii="Arial" w:cs="Arial" w:eastAsia="Arial" w:hAnsi="Arial"/>
          <w:sz w:val="11"/>
          <w:szCs w:val="11"/>
          <w:color w:val="auto"/>
        </w:rPr>
      </w:pPr>
    </w:p>
    <w:p>
      <w:pPr>
        <w:ind w:left="4420"/>
        <w:spacing w:after="0"/>
        <w:rPr>
          <w:rFonts w:ascii="Arial" w:cs="Arial" w:eastAsia="Arial" w:hAnsi="Arial"/>
          <w:sz w:val="11"/>
          <w:szCs w:val="11"/>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2" w:name="page143"/>
    <w:bookmarkEnd w:id="14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Any changes in the overall industry conditions, as well as our ability to adapt to such changes, may have a material impact on our business and overall performance.</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Specific Factors Affecting Our Results of Operations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believe that our financial position and results of operations also depend on a number of company-specific factors, including:</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Our ability to retain existing and attract new customers</w:t>
      </w:r>
    </w:p>
    <w:p>
      <w:pPr>
        <w:spacing w:after="0" w:line="107"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We have amassed a large and diversified customer base covering a wide spectrum of auto merchants. We believe our operating results and growth prospects will depend on our ability to retain existing and attract new customers as well as expand their use of our services. The synergies between our digitalization solutions and transaction services have enabled us to offer unparalleled value proposition to auto merchants which generates strong word-of-mouth referrals from customers and allows us to attract new customers and increase our share of our customers’ wallets. We are the long-term partner for the best and strongest in the industry, as indicated by the fact that 66 out of the top 100 used car dealers in China in 2025 (based on information published by China Automobile Dealers Association) have used our services for more than five years, and 93 out of such used car dealers have used our services for more than two years, as of December 31, 2025. We had 28,412 monetized dealers and brokers in 2024, representing a 2.3% increase from 27,779 in 2023, and 30,297 monetized dealers and brokers in 2025, representing a 6.6% increase from 28,412 in 2024. “Monetized dealers and brokers” refer to used car dealers and new car brokers from whom we generate revenues either directly from the fees received from them or indirectly from their collaborators. In addition to word-of-mouth referrals, we also intend to improve the breadth and quality of our offerings, and enhance our brand recognition, which will empower us to retain existing and attract new customers as well as expand their adoption of our services.</w:t>
      </w:r>
    </w:p>
    <w:p>
      <w:pPr>
        <w:spacing w:after="0" w:line="145" w:lineRule="exact"/>
        <w:rPr>
          <w:sz w:val="20"/>
          <w:szCs w:val="20"/>
          <w:color w:val="auto"/>
        </w:rPr>
      </w:pPr>
    </w:p>
    <w:p>
      <w:pPr>
        <w:ind w:left="1660" w:right="1398"/>
        <w:spacing w:after="0" w:line="268" w:lineRule="auto"/>
        <w:rPr>
          <w:sz w:val="20"/>
          <w:szCs w:val="20"/>
          <w:color w:val="auto"/>
        </w:rPr>
      </w:pPr>
      <w:r>
        <w:rPr>
          <w:rFonts w:ascii="Arial" w:cs="Arial" w:eastAsia="Arial" w:hAnsi="Arial"/>
          <w:sz w:val="14"/>
          <w:szCs w:val="14"/>
          <w:i w:val="1"/>
          <w:iCs w:val="1"/>
          <w:color w:val="auto"/>
        </w:rPr>
        <w:t>Our ability to entrench our leadership in digitalization solutions for auto merchants in China and expand the monetization of our digitalization solutions</w:t>
      </w:r>
    </w:p>
    <w:p>
      <w:pPr>
        <w:spacing w:after="0" w:line="53"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sustained revenue growth depends on our ability to maintain and enhance our leadership in digitalization solutions and expand the monetization of these solutions.</w:t>
      </w:r>
    </w:p>
    <w:p>
      <w:pPr>
        <w:spacing w:after="0" w:line="31"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 xml:space="preserve">Our digitalization solutions serve a diverse range of auto merchants. We have achieved a market share of over 90% for operating systems among used car dealers and new car brokers, according to CIC. As a trusted brand among auto dealers, we have a stronger position to attract dealers than new market entrants do. Our efforts are focused on developing new features and functionalities that enhance the digitalization and efficiency of car dealers’ operations, enhancing the integration of our digitalization solutions into the daily operations of used car dealers. This strategy increases their stickiness to our digitalization solutions, which, in turn, paves the way for us to explore and expand monetization opportunities. We started to sell subscription packages to car dealers on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in October 2021. In 2023, 2024 and 2025, we generated revenues of RMB42.4 million, RMB34.3 million and RMB32.7 million (US$4.7 million), respectively, from subscription fees (all of which were generated from dealers and brokers), representing 30.2%, 36.9% and 43.9%, respectively, of our total digitalization solutions revenue. Additionally, during the same periods, we generated revenues of RMB97.9 million, RMB58.7 million and RMB41.8 million (US$6.0 million), respectively, in customer engagement solutions (all of which were generated from OEMs), representing 69.8%, 63.1% and 56.1%, respectively, of our total digitalization solutions revenues. Despite the short term decrease in revenue contribution from transaction services resulting from the Disposition, we expect that our digitalization solutions revenue will decrease as a percentage of our total revenue in the long run as we increase our revenue from transaction services. For details, see “— Results of Operations — Year Ended December 31, 2025 Compared to Year Ended December 31, 2024.” Additionally, as of December 31, 2025, we counted 44 OEM brands as clients of our digitalization solutions, including prominent global and Chinese automotive leaders, such as BMW, GAC Motor, SAIC-GM-Wuling, Geely and Toyota.</w:t>
      </w:r>
    </w:p>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3" w:name="page144"/>
    <w:bookmarkEnd w:id="14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believe that our market penetration, innovative offerings and advanced technological capabilities will further enhance our customer acquisition efforts, reinforce our leadership in digitalization solutions and allow us to further monetize our digitalization solutions.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Our ability to increase adoption of our transaction services by customers</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ability to drive revenue growth in the future depends on our ability to increase transaction services volume and drive the adoption of our transaction services among auto merchants and collaborators.</w:t>
      </w:r>
    </w:p>
    <w:p>
      <w:pPr>
        <w:spacing w:after="0" w:line="45"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 xml:space="preserve">Transaction services have historically contributed significantly to our total revenue growth. We generated 84.6%, 90.2% and 89.0% of our total revenues, respectively, from transaction services in 2023, 2024 and 2025. During the same periods, we generated transaction services revenues of RMB444.8 million, RMB457.4 million and RMB190.9 million (US$27.3 million), respectively, from our monetized dealers and brokers and their collaborators, RMB206.9 million, RMB274.5 million and RMB223.9 million (US$32.0 million), respectively, from OEMs and RMB117.1 million, RMB123.4 million and RMB186.8 million (US$26.7 million), respectively, from other customers. These other customers are primarily auto trading companies and financial institutions that use our warehousing services. For more information about our business with these customers, see “Business — What We Offer — Our New Car Services — Transaction Services — Delivery Services.” As of December 31, 2025, we partnered with 4,169 inspectors based in 248 cities, 4,067 logistics companies, and 95 warehouses. In 2025, our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platform facilitated 109,622 vehicle transactions, making us the second largest used cars B2B marketplace in China in terms of online transaction volume, according to CIC. According to the same source, we are also China’s largest used car inspection and certification service provider in 2025, and operated China’s largest single car delivery network in 2025.</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use ARPU as a key measure to monitor transaction services revenue generated from monetized dealers and brokers and their collaborators, which currently comprise the majority of such revenue. The ARPU of our monetized dealers and brokers was RMB17,537 in 2023, based on revenues of RMB487.2 million generated from such dealers and brokers and their collaborators in 2023, remained relatively stable at RMB17,304 in 2024, based on revenues of RMB491.6 million generated from such dealers and brokers and their collaborators in 2024, and decreased to RMB7,379 in 2025, based on revenues of RMB223.6 million generated from such dealers and brokers and their collaborators in 2025. The decrease in ARPU in 2025 was primarily attributable to the Disposition as well as the increase in the number of monetized dealers and brokers.</w:t>
      </w:r>
    </w:p>
    <w:p>
      <w:pPr>
        <w:spacing w:after="0" w:line="53"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Revenues used to calculate ARPU include the revenues generated from digitalization solutions and transaction services to dealers and brokers but do not include revenues from OEMs and the above-mentioned other types of customers, mostly auto trading companies and financial institutions that use our warehousing services. This is because we do not consider our revenue derived from OEMs and such other customers to match the generally accepted use of ARPU. We believe the ARPU is most effective in scenarios where a company has a large number of users or customers (generally in thousands or more) each contributing a relatively small amount to the overall revenue, on a recurring basis. In such contexts, ARPU represents a relatively informative average, and therefore we use ARPU to measure our average revenue generated per monetized dealer and broker over a specific period as such dealers and brokers are large in number, and their individual revenue contributions are relatively small and typically recurring. In contrast, OEMs and the above-mentioned other customers are generally limited in number but significant in terms of transaction volume and value. For example, the potential customer pool for our services provided to OEMs is made up of approximately 100 OEMs as of the date of this prospectus, and the amounts of contracts with OEMs typically range from RMB500,000 to RMB100 million and are project-based, rendering ARPU of our OEM customers a less helpful metric.</w:t>
      </w:r>
    </w:p>
    <w:p>
      <w:pPr>
        <w:spacing w:after="0" w:line="6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2023, 2024 and 2025, we had 33, 40 and 21 OEM brands as our transaction services customers. The decrease in OEM brands in 2025 was primarily attributable to our more selective approach to accepting new projects due to profitability and receivable concerns. Delivery services and marketing and other services have contributed the majority of our transaction services revenue from OEMs during the same periods. We primarily use delivery volume, number of warehouses, and number</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4" w:name="page145"/>
    <w:bookmarkEnd w:id="14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and contract value of marketing related projects to monitor and evaluate our transaction services provided to OEMs as well as our ability to retain and grow our OEM customers for transaction services. In 2023, 2024 and 2025, we transported approximately 88,000, 130,946 and 157,918 vehicles, respectively, for OEMs. As of December 31, 2023, 2024 and 2025, we operated 80, 81 and 95 warehouses nationwide, respectively. In 2023, 2024 and 2025, we executed 58, 44 and 11 marketing related projects with their contract value ranging from approximately RMB50,000 to approximately RMB5 million per project. The decrease in marketing related projects in 2025 was primarily due to decrease in cost effectiveness of social media marketing services due to both traffic allocation changes by the social media platforms and the influencer community’s natural evolvement. We also provide warehousing services to customers other than monetized dealers and brokers and OEMs, most of which are auto trading companies and financial institutions. In 2023, 2024 and 2025, we had 309, 323 and 333, respectively, auto trading companies and financial institutions as our delivery services customers. We primarily use vehicle units and warehousing days to evaluate warehousing revenues from such customers.</w:t>
      </w:r>
    </w:p>
    <w:p>
      <w:pPr>
        <w:spacing w:after="0" w:line="55"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will continue to expand the scope of our transaction services to enable auto merchants to complete more vehicle transactions easily and cost-effectively. We will also actively promote cross-selling and up-selling of our transaction services to our existing customers. We expect these initiatives to help us increase the adoption of our transaction services among auto merchants, which ultimately contributes to our long-term revenue growth and profitability.</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Our ability to manage operating costs and expenses</w:t>
      </w:r>
    </w:p>
    <w:p>
      <w:pPr>
        <w:spacing w:after="0" w:line="117"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Our results of operations are affected by our ability to manage our operating costs and expenses. Our cost of revenues consists primarily of: (i) the fees paid to third parties relating to delivering our various transaction services to our customers; and (ii) personnel costs. Our cost of revenues as a percentage of total revenues increased from 66.4% in 2023 to 69.3% in 2024, primarily attributable to the growth of delivery services as well as financial product referral services which generally yield relatively lower gross profit margins. Our cost of revenues as a percentage of total revenues decreased from 69.3% in 2024 to 61.5% in 2025, primarily attributable to the disposition of our financial product referral services which generally yield relatively lower gross profit margins.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operating expenses consist primarily of: (i) sales and marketing expenses; (ii) general and administrative expenses; and (iii) research and development expenses. In absolute amount, our operating expenses decreased by 3.4% from 2023 to 2024. As a percentage of total revenues, our operating expenses decreased 54.6% in 2023 to 50.5% in 2024. This decrease reflects our successful efforts to improve operational efficiency and productivity, as well as the benefits of our increased economies of scale.</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also expect to incur significant share-based compensation upon the completion of this offering. As of the date of this prospectus, we have issued options to acquire 94,715,674 ordinary shares of our company under the 2023 Plan. We have also issued certain warrants as incentives to certain key employees of Yunyang. For details, see “Management” As the completion of this offering is a condition to the vesting of these options and warrants, such condition will be met upon the date of the completion of this offering. Therefore, we expect to record a significant amount of cumulative share-based compensation expenses for such options and warrants upon the completion of this offering. If such condition were to have been satisfied as of December 31, 2025, we would have recognized share-based compensation expenses of RMB183.4 million (US$26.2 million) for those options for which service conditions were satisfied as of such date.</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Looking forward, we anticipate that our operational efficiency will further improve as we expand our business and capitalize on economies of scale. In addition, we plan to increase our cross -selling and up-selling initiatives to optimize our sales and marketing performance. Over the long term, we are dedicated to consistently evaluating and enhancing our cost and expense management strategies to maintain our agility and competitiveness in the market.</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5" w:name="page146"/>
    <w:bookmarkEnd w:id="14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Key Components of Results of Operations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generate our revenues from two sources: (i) digitalization solutions; and (ii) transaction services. The table below provides a breakdown of our revenues, in absolute amounts and as a percentage of total revenues, for the years indicated.</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208"/>
        </w:trPr>
        <w:tc>
          <w:tcPr>
            <w:tcW w:w="2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38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8"/>
        </w:trPr>
        <w:tc>
          <w:tcPr>
            <w:tcW w:w="2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RMB</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RMB</w:t>
            </w: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US$</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w:t>
            </w:r>
          </w:p>
        </w:tc>
      </w:tr>
      <w:tr>
        <w:trPr>
          <w:trHeight w:val="208"/>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7"/>
          </w:tcPr>
          <w:p>
            <w:pPr>
              <w:ind w:left="20"/>
              <w:spacing w:after="0"/>
              <w:rPr>
                <w:sz w:val="20"/>
                <w:szCs w:val="20"/>
                <w:color w:val="auto"/>
              </w:rPr>
            </w:pPr>
            <w:r>
              <w:rPr>
                <w:rFonts w:ascii="Arial" w:cs="Arial" w:eastAsia="Arial" w:hAnsi="Arial"/>
                <w:sz w:val="11"/>
                <w:szCs w:val="11"/>
                <w:b w:val="1"/>
                <w:bCs w:val="1"/>
                <w:color w:val="auto"/>
              </w:rPr>
              <w:t>(in thousands except percentage)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4"/>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Digitalization solutions</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140,290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92,976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74,519</w:t>
            </w:r>
          </w:p>
        </w:tc>
        <w:tc>
          <w:tcPr>
            <w:tcW w:w="12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7"/>
              </w:rPr>
              <w:t>10,656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04"/>
        </w:trPr>
        <w:tc>
          <w:tcPr>
            <w:tcW w:w="2120" w:type="dxa"/>
            <w:vAlign w:val="bottom"/>
          </w:tcPr>
          <w:p>
            <w:pPr>
              <w:spacing w:after="0"/>
              <w:rPr>
                <w:sz w:val="20"/>
                <w:szCs w:val="20"/>
                <w:color w:val="auto"/>
              </w:rPr>
            </w:pPr>
            <w:r>
              <w:rPr>
                <w:rFonts w:ascii="Arial" w:cs="Arial" w:eastAsia="Arial" w:hAnsi="Arial"/>
                <w:sz w:val="14"/>
                <w:szCs w:val="14"/>
                <w:color w:val="auto"/>
              </w:rPr>
              <w:t>Transaction services</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768,754</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84.6</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855,251</w:t>
            </w: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90.2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602,540</w:t>
            </w:r>
          </w:p>
        </w:tc>
        <w:tc>
          <w:tcPr>
            <w:tcW w:w="120" w:type="dxa"/>
            <w:vAlign w:val="bottom"/>
          </w:tcPr>
          <w:p>
            <w:pPr>
              <w:spacing w:after="0"/>
              <w:rPr>
                <w:sz w:val="17"/>
                <w:szCs w:val="17"/>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86,162</w:t>
            </w:r>
          </w:p>
        </w:tc>
        <w:tc>
          <w:tcPr>
            <w:tcW w:w="58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20"/>
        </w:trPr>
        <w:tc>
          <w:tcPr>
            <w:tcW w:w="2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11"/>
        </w:trPr>
        <w:tc>
          <w:tcPr>
            <w:tcW w:w="2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revenues</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8"/>
              </w:rPr>
              <w:t>909,044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948,227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677,059</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97"/>
              </w:rPr>
              <w:t>96,818</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Digitalization solutions</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We generate digitalization solutions revenue from two sources: (i) the subscription fees received from used car dealers and new car brokers for the digitalization solutions delivered through our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and</w:t>
      </w:r>
      <w:r>
        <w:rPr>
          <w:rFonts w:ascii="Arial" w:cs="Arial" w:eastAsia="Arial" w:hAnsi="Arial"/>
          <w:sz w:val="14"/>
          <w:szCs w:val="14"/>
          <w:i w:val="1"/>
          <w:iCs w:val="1"/>
          <w:color w:val="auto"/>
        </w:rPr>
        <w:t xml:space="preserve"> Chehang 168 </w:t>
      </w:r>
      <w:r>
        <w:rPr>
          <w:rFonts w:ascii="Arial" w:cs="Arial" w:eastAsia="Arial" w:hAnsi="Arial"/>
          <w:sz w:val="14"/>
          <w:szCs w:val="14"/>
          <w:color w:val="auto"/>
        </w:rPr>
        <w:t>platforms; and (ii) the fees we receive for the customer engagement</w:t>
      </w:r>
      <w:r>
        <w:rPr>
          <w:rFonts w:ascii="Arial" w:cs="Arial" w:eastAsia="Arial" w:hAnsi="Arial"/>
          <w:sz w:val="14"/>
          <w:szCs w:val="14"/>
          <w:i w:val="1"/>
          <w:iCs w:val="1"/>
          <w:color w:val="auto"/>
        </w:rPr>
        <w:t xml:space="preserve"> </w:t>
      </w:r>
      <w:r>
        <w:rPr>
          <w:rFonts w:ascii="Arial" w:cs="Arial" w:eastAsia="Arial" w:hAnsi="Arial"/>
          <w:sz w:val="14"/>
          <w:szCs w:val="14"/>
          <w:color w:val="auto"/>
        </w:rPr>
        <w:t>solutions we provide to OEMs. Currently, we are in the early stages of monetizing the digitalization solutions offered to car dealers and brokers, with the majority of our digitalization solutions revenue derived from the fees we receive from OEMs for our customer engagement solutions.</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2023, 2024 and 2025, we executed 38, 33 and 23 contracts for the customer engagement solutions offered to OEMs, respectively. These contracts varied significantly in contract amounts, depending on multiple factors, including the contract’s duration, the complexities associated with completing the projects, and the scale of the contracting OEMs, among other considerations. The amounts of most of these contracts ranged from RMB500,000 to RMB100 million. In 2023, 2024 and 2025, we generated revenues of RMB97.9 million, RMB58.7 million and RMB41.8 million (US$6.0 million), respectively, in customer engagement solutions (all of which were generated from OEMs), representing 69.8%, 63.1% and 56.1%, respectively, of our total digitalization solutions revenues. During the same periods, we generated revenues of RMB42.4 million, RMB34.3 million and RMB32.7 million (US$4.7 million), respectively, from subscription fees (all of which were generated from dealers and brokers), representing 30.2%, 36.9% and 43.9%, respectively, of our total digitalization solutions revenue.</w:t>
      </w:r>
    </w:p>
    <w:p>
      <w:pPr>
        <w:spacing w:after="0" w:line="8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 xml:space="preserve">We adopt a “freemium” model for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where used car dealers and new car brokers pay an annual subscription fee for advanced functions while most of the other modules are offered for free. The subscriptions are usually for a one-year term and used car dealers and new car brokers may choose to renew annually.</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Despite the temporary uptick in the revenue share of digitalization solutions following the Disposition, we expect that share to decrease over the long term as our transaction services revenue continues to grow. We are committed to adapting our monetization model to evolving market trends and to identifying new opportunities to monetize our digitalization solutions as we grow our business and expand our customer base.</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customer engagement solutions for OEMs involve developing digital systems and applications to help them manage the entire spectrum of their interactions with customers, from leads conversion, to order-driven manufacturing, car delivery and after-sales services, all centering on direct customer engagement. We generate revenue from customer engagement solutions to OEMs primarily on a project basis, with additional long-term revenue from certain related services such as application management and system maintenance.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6" w:name="page147"/>
    <w:bookmarkEnd w:id="14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services</w:t>
      </w:r>
    </w:p>
    <w:p>
      <w:pPr>
        <w:spacing w:after="0" w:line="96"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We offer a wide range of transaction services to car dealers, OEMs and other types of auto merchants to facilitate their vehicle-related transactions.</w:t>
      </w:r>
    </w:p>
    <w:p>
      <w:pPr>
        <w:spacing w:after="0" w:line="62" w:lineRule="exact"/>
        <w:rPr>
          <w:sz w:val="20"/>
          <w:szCs w:val="20"/>
          <w:color w:val="auto"/>
        </w:rPr>
      </w:pPr>
    </w:p>
    <w:p>
      <w:pPr>
        <w:jc w:val="both"/>
        <w:ind w:left="1800" w:right="1398" w:hanging="136"/>
        <w:spacing w:after="0" w:line="237" w:lineRule="auto"/>
        <w:tabs>
          <w:tab w:leader="none" w:pos="1804" w:val="left"/>
        </w:tabs>
        <w:numPr>
          <w:ilvl w:val="0"/>
          <w:numId w:val="61"/>
        </w:numPr>
        <w:rPr>
          <w:rFonts w:ascii="Arial" w:cs="Arial" w:eastAsia="Arial" w:hAnsi="Arial"/>
          <w:sz w:val="11"/>
          <w:szCs w:val="11"/>
          <w:color w:val="auto"/>
        </w:rPr>
      </w:pPr>
      <w:r>
        <w:rPr>
          <w:rFonts w:ascii="Arial" w:cs="Arial" w:eastAsia="Arial" w:hAnsi="Arial"/>
          <w:sz w:val="14"/>
          <w:szCs w:val="14"/>
          <w:i w:val="1"/>
          <w:iCs w:val="1"/>
          <w:color w:val="auto"/>
        </w:rPr>
        <w:t xml:space="preserve">B2B transaction facilitation services. </w:t>
      </w:r>
      <w:r>
        <w:rPr>
          <w:rFonts w:ascii="Arial" w:cs="Arial" w:eastAsia="Arial" w:hAnsi="Arial"/>
          <w:sz w:val="14"/>
          <w:szCs w:val="14"/>
          <w:color w:val="auto"/>
        </w:rPr>
        <w:t>Our B2B transaction facilitation services help used car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dealers more efficiently source supply from, and sell inventories to, other dealers. We offer both a “light-touch” platform through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where dealers can freely list their for-sale inventories by posting certain essential information about them, and a “heavy-touch” online auction platform called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where dealers buy used cars from other dealers through a highly managed process. We do not charge a fee for sales completed through our “light-touch” platform, but do charge a fee, calculated at a certain percentage of the total sales price, for the car sales transaction completed through </w:t>
      </w:r>
      <w:r>
        <w:rPr>
          <w:rFonts w:ascii="Arial" w:cs="Arial" w:eastAsia="Arial" w:hAnsi="Arial"/>
          <w:sz w:val="14"/>
          <w:szCs w:val="14"/>
          <w:i w:val="1"/>
          <w:iCs w:val="1"/>
          <w:color w:val="auto"/>
        </w:rPr>
        <w:t>CheYiPai</w:t>
      </w:r>
      <w:r>
        <w:rPr>
          <w:rFonts w:ascii="Arial" w:cs="Arial" w:eastAsia="Arial" w:hAnsi="Arial"/>
          <w:sz w:val="14"/>
          <w:szCs w:val="14"/>
          <w:color w:val="auto"/>
        </w:rPr>
        <w:t>.</w:t>
      </w:r>
    </w:p>
    <w:p>
      <w:pPr>
        <w:spacing w:after="0" w:line="87"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61"/>
        </w:numPr>
        <w:rPr>
          <w:rFonts w:ascii="Arial" w:cs="Arial" w:eastAsia="Arial" w:hAnsi="Arial"/>
          <w:sz w:val="10"/>
          <w:szCs w:val="10"/>
          <w:color w:val="auto"/>
        </w:rPr>
      </w:pPr>
      <w:r>
        <w:rPr>
          <w:rFonts w:ascii="Arial" w:cs="Arial" w:eastAsia="Arial" w:hAnsi="Arial"/>
          <w:sz w:val="13"/>
          <w:szCs w:val="13"/>
          <w:i w:val="1"/>
          <w:iCs w:val="1"/>
          <w:color w:val="auto"/>
        </w:rPr>
        <w:t xml:space="preserve">Delivery services. </w:t>
      </w:r>
      <w:r>
        <w:rPr>
          <w:rFonts w:ascii="Arial" w:cs="Arial" w:eastAsia="Arial" w:hAnsi="Arial"/>
          <w:sz w:val="13"/>
          <w:szCs w:val="13"/>
          <w:color w:val="auto"/>
        </w:rPr>
        <w:t>We provide delivery services to facilitate used car dealers’ inventory</w:t>
      </w:r>
      <w:r>
        <w:rPr>
          <w:rFonts w:ascii="Arial" w:cs="Arial" w:eastAsia="Arial" w:hAnsi="Arial"/>
          <w:sz w:val="13"/>
          <w:szCs w:val="13"/>
          <w:i w:val="1"/>
          <w:iCs w:val="1"/>
          <w:color w:val="auto"/>
        </w:rPr>
        <w:t xml:space="preserve"> </w:t>
      </w:r>
      <w:r>
        <w:rPr>
          <w:rFonts w:ascii="Arial" w:cs="Arial" w:eastAsia="Arial" w:hAnsi="Arial"/>
          <w:sz w:val="13"/>
          <w:szCs w:val="13"/>
          <w:color w:val="auto"/>
        </w:rPr>
        <w:t>sourcing from dealers in other regions. Our used car delivery services consist primarily of title transfer and transportation services. Our title transfer services involve handling of title transfer and related documents for our customers. We charge service fees for our used car delivery services, the amount of which generally varies based on service complexity and transportation distance, among other factors. Our delivery service to new car merchants, primarily OEMs, is aimed at offering the consumer-facing delivery infrastructure for direct-to-consumers (DTC) car sales. OEMs are the largest customers by amount of our single-car delivery services while auto trading companies and financial institutions contributed a majority of our revenue from warehousing services for 2023, 2024 and 2025. During the same periods, a significant portion of our delivery services revenue was generated from warehousing services. For our new car delivery services, we typically charge fees primarily based on transportation mileage, warehousing days, and any special handling requests. For more information about our delivery services, see “Business — What We Offer — Our New Car Services — Transaction Services</w:t>
      </w:r>
    </w:p>
    <w:p>
      <w:pPr>
        <w:spacing w:after="0" w:line="8" w:lineRule="exact"/>
        <w:rPr>
          <w:rFonts w:ascii="Arial" w:cs="Arial" w:eastAsia="Arial" w:hAnsi="Arial"/>
          <w:sz w:val="10"/>
          <w:szCs w:val="10"/>
          <w:color w:val="auto"/>
        </w:rPr>
      </w:pPr>
    </w:p>
    <w:p>
      <w:pPr>
        <w:ind w:left="1800" w:right="1398"/>
        <w:spacing w:after="0" w:line="244" w:lineRule="auto"/>
        <w:rPr>
          <w:rFonts w:ascii="Arial" w:cs="Arial" w:eastAsia="Arial" w:hAnsi="Arial"/>
          <w:sz w:val="10"/>
          <w:szCs w:val="10"/>
          <w:color w:val="auto"/>
        </w:rPr>
      </w:pPr>
      <w:r>
        <w:rPr>
          <w:rFonts w:ascii="Arial" w:cs="Arial" w:eastAsia="Arial" w:hAnsi="Arial"/>
          <w:sz w:val="14"/>
          <w:szCs w:val="14"/>
          <w:color w:val="auto"/>
        </w:rPr>
        <w:t>— Delivery Services.” Delivery services accounted for the largest portion of our transaction services revenues in 2023, 2024 and 2025.</w:t>
      </w:r>
    </w:p>
    <w:p>
      <w:pPr>
        <w:spacing w:after="0" w:line="69" w:lineRule="exact"/>
        <w:rPr>
          <w:rFonts w:ascii="Arial" w:cs="Arial" w:eastAsia="Arial" w:hAnsi="Arial"/>
          <w:sz w:val="10"/>
          <w:szCs w:val="10"/>
          <w:color w:val="auto"/>
        </w:rPr>
      </w:pPr>
    </w:p>
    <w:p>
      <w:pPr>
        <w:jc w:val="both"/>
        <w:ind w:left="1800" w:right="1398" w:hanging="136"/>
        <w:spacing w:after="0" w:line="245" w:lineRule="auto"/>
        <w:tabs>
          <w:tab w:leader="none" w:pos="1804" w:val="left"/>
        </w:tabs>
        <w:numPr>
          <w:ilvl w:val="0"/>
          <w:numId w:val="61"/>
        </w:numPr>
        <w:rPr>
          <w:rFonts w:ascii="Arial" w:cs="Arial" w:eastAsia="Arial" w:hAnsi="Arial"/>
          <w:sz w:val="11"/>
          <w:szCs w:val="11"/>
          <w:color w:val="auto"/>
        </w:rPr>
      </w:pPr>
      <w:r>
        <w:rPr>
          <w:rFonts w:ascii="Arial" w:cs="Arial" w:eastAsia="Arial" w:hAnsi="Arial"/>
          <w:sz w:val="14"/>
          <w:szCs w:val="14"/>
          <w:i w:val="1"/>
          <w:iCs w:val="1"/>
          <w:color w:val="auto"/>
        </w:rPr>
        <w:t xml:space="preserve">Used car inspection and certification services. </w:t>
      </w:r>
      <w:r>
        <w:rPr>
          <w:rFonts w:ascii="Arial" w:cs="Arial" w:eastAsia="Arial" w:hAnsi="Arial"/>
          <w:sz w:val="14"/>
          <w:szCs w:val="14"/>
          <w:color w:val="auto"/>
        </w:rPr>
        <w:t>We provide industry-leading used car</w:t>
      </w:r>
      <w:r>
        <w:rPr>
          <w:rFonts w:ascii="Arial" w:cs="Arial" w:eastAsia="Arial" w:hAnsi="Arial"/>
          <w:sz w:val="14"/>
          <w:szCs w:val="14"/>
          <w:i w:val="1"/>
          <w:iCs w:val="1"/>
          <w:color w:val="auto"/>
        </w:rPr>
        <w:t xml:space="preserve"> </w:t>
      </w:r>
      <w:r>
        <w:rPr>
          <w:rFonts w:ascii="Arial" w:cs="Arial" w:eastAsia="Arial" w:hAnsi="Arial"/>
          <w:sz w:val="14"/>
          <w:szCs w:val="14"/>
          <w:color w:val="auto"/>
        </w:rPr>
        <w:t>inspection and certification services under the commercial brand 268V. We charge a variable fee for each inspection, depending on the complexity and thoroughness of the inspections performed.</w:t>
      </w:r>
    </w:p>
    <w:p>
      <w:pPr>
        <w:spacing w:after="0" w:line="79" w:lineRule="exact"/>
        <w:rPr>
          <w:rFonts w:ascii="Arial" w:cs="Arial" w:eastAsia="Arial" w:hAnsi="Arial"/>
          <w:sz w:val="11"/>
          <w:szCs w:val="11"/>
          <w:color w:val="auto"/>
        </w:rPr>
      </w:pPr>
    </w:p>
    <w:p>
      <w:pPr>
        <w:jc w:val="both"/>
        <w:ind w:left="1800" w:right="1398" w:hanging="136"/>
        <w:spacing w:after="0" w:line="236" w:lineRule="auto"/>
        <w:tabs>
          <w:tab w:leader="none" w:pos="1804" w:val="left"/>
        </w:tabs>
        <w:numPr>
          <w:ilvl w:val="0"/>
          <w:numId w:val="61"/>
        </w:numPr>
        <w:rPr>
          <w:rFonts w:ascii="Arial" w:cs="Arial" w:eastAsia="Arial" w:hAnsi="Arial"/>
          <w:sz w:val="11"/>
          <w:szCs w:val="11"/>
          <w:color w:val="auto"/>
        </w:rPr>
      </w:pPr>
      <w:r>
        <w:rPr>
          <w:rFonts w:ascii="Arial" w:cs="Arial" w:eastAsia="Arial" w:hAnsi="Arial"/>
          <w:sz w:val="14"/>
          <w:szCs w:val="14"/>
          <w:i w:val="1"/>
          <w:iCs w:val="1"/>
          <w:color w:val="auto"/>
        </w:rPr>
        <w:t xml:space="preserve">Financial product referral services. </w:t>
      </w:r>
      <w:r>
        <w:rPr>
          <w:rFonts w:ascii="Arial" w:cs="Arial" w:eastAsia="Arial" w:hAnsi="Arial"/>
          <w:sz w:val="14"/>
          <w:szCs w:val="14"/>
          <w:color w:val="auto"/>
        </w:rPr>
        <w:t>We historically provided financial product referral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by connecting financial institutions directly with used car dealers who recommend financial products to car buyers. We received a commission from the financial institutions based on the loan amounts generated through these referrals. Financial product referral services accounted for a significant portion of our transaction service revenues in 2023 and 2024. In November 2024, we entered into agreements to sell all of our equity interests in the PRC entities operating the financial product referral services to Zhejiang Dasouche Boxin Auto Sales Co., Ltd., a wholly owned subsidiary of Souche Holdings Ltd, following which, we no longer offer financial product referral services. The transaction was closed in December 2024. For further details of this transaction, see “Prospectus Summary — Disposition of Our Financial Product Referral Services” and “— The Impact of Disposition of Financial Product Referral Services.”</w:t>
      </w:r>
    </w:p>
    <w:p>
      <w:pPr>
        <w:spacing w:after="0" w:line="84" w:lineRule="exact"/>
        <w:rPr>
          <w:rFonts w:ascii="Arial" w:cs="Arial" w:eastAsia="Arial" w:hAnsi="Arial"/>
          <w:sz w:val="11"/>
          <w:szCs w:val="11"/>
          <w:color w:val="auto"/>
        </w:rPr>
      </w:pPr>
    </w:p>
    <w:p>
      <w:pPr>
        <w:jc w:val="both"/>
        <w:ind w:left="1800" w:right="1398" w:hanging="136"/>
        <w:spacing w:after="0" w:line="245" w:lineRule="auto"/>
        <w:tabs>
          <w:tab w:leader="none" w:pos="1783" w:val="left"/>
        </w:tabs>
        <w:numPr>
          <w:ilvl w:val="0"/>
          <w:numId w:val="61"/>
        </w:numPr>
        <w:rPr>
          <w:rFonts w:ascii="Arial" w:cs="Arial" w:eastAsia="Arial" w:hAnsi="Arial"/>
          <w:sz w:val="11"/>
          <w:szCs w:val="11"/>
          <w:i w:val="1"/>
          <w:iCs w:val="1"/>
          <w:color w:val="auto"/>
        </w:rPr>
      </w:pPr>
      <w:r>
        <w:rPr>
          <w:rFonts w:ascii="Arial" w:cs="Arial" w:eastAsia="Arial" w:hAnsi="Arial"/>
          <w:sz w:val="14"/>
          <w:szCs w:val="14"/>
          <w:i w:val="1"/>
          <w:iCs w:val="1"/>
          <w:color w:val="auto"/>
        </w:rPr>
        <w:t xml:space="preserve">Marketing and others. </w:t>
      </w:r>
      <w:r>
        <w:rPr>
          <w:rFonts w:ascii="Arial" w:cs="Arial" w:eastAsia="Arial" w:hAnsi="Arial"/>
          <w:sz w:val="14"/>
          <w:szCs w:val="14"/>
          <w:color w:val="auto"/>
        </w:rPr>
        <w:t>We also generate revenue from a range of additional transaction</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such as marketing, managing customer engagement channels and other services offered to OEMs. The amounts of these fees vary based on the type and nature of the services provided.</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7" w:name="page148"/>
    <w:bookmarkEnd w:id="14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table below provides a breakdown of our transaction services revenue, in absolute amounts and as percentages of our total revenues, for the years indicated.</w:t>
      </w:r>
    </w:p>
    <w:p>
      <w:pPr>
        <w:spacing w:after="0" w:line="101"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tcPr>
          <w:p>
            <w:pPr>
              <w:ind w:left="140"/>
              <w:spacing w:after="0"/>
              <w:rPr>
                <w:sz w:val="20"/>
                <w:szCs w:val="20"/>
                <w:color w:val="auto"/>
              </w:rPr>
            </w:pPr>
            <w:r>
              <w:rPr>
                <w:rFonts w:ascii="Arial" w:cs="Arial" w:eastAsia="Arial" w:hAnsi="Arial"/>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r>
      <w:tr>
        <w:trPr>
          <w:trHeight w:val="208"/>
        </w:trPr>
        <w:tc>
          <w:tcPr>
            <w:tcW w:w="24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32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2024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8"/>
        </w:trPr>
        <w:tc>
          <w:tcPr>
            <w:tcW w:w="24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RMB</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US$</w:t>
            </w: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w:t>
            </w:r>
          </w:p>
        </w:tc>
      </w:tr>
      <w:tr>
        <w:trPr>
          <w:trHeight w:val="208"/>
        </w:trPr>
        <w:tc>
          <w:tcPr>
            <w:tcW w:w="2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9"/>
          </w:tcPr>
          <w:p>
            <w:pPr>
              <w:ind w:left="20"/>
              <w:spacing w:after="0"/>
              <w:rPr>
                <w:sz w:val="20"/>
                <w:szCs w:val="20"/>
                <w:color w:val="auto"/>
              </w:rPr>
            </w:pPr>
            <w:r>
              <w:rPr>
                <w:rFonts w:ascii="Arial" w:cs="Arial" w:eastAsia="Arial" w:hAnsi="Arial"/>
                <w:sz w:val="11"/>
                <w:szCs w:val="11"/>
                <w:b w:val="1"/>
                <w:bCs w:val="1"/>
                <w:color w:val="auto"/>
                <w:w w:val="99"/>
              </w:rPr>
              <w:t>(in thousands except percentage)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4"/>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B2B transaction facilitation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85,461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75,158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71,177</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10,179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00"/>
        </w:trPr>
        <w:tc>
          <w:tcPr>
            <w:tcW w:w="2480" w:type="dxa"/>
            <w:vAlign w:val="bottom"/>
          </w:tcPr>
          <w:p>
            <w:pPr>
              <w:spacing w:after="0"/>
              <w:rPr>
                <w:sz w:val="20"/>
                <w:szCs w:val="20"/>
                <w:color w:val="auto"/>
              </w:rPr>
            </w:pPr>
            <w:r>
              <w:rPr>
                <w:rFonts w:ascii="Arial" w:cs="Arial" w:eastAsia="Arial" w:hAnsi="Arial"/>
                <w:sz w:val="14"/>
                <w:szCs w:val="14"/>
                <w:color w:val="auto"/>
              </w:rPr>
              <w:t>Delivery</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252,962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27.9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336,180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35.5</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330,238</w:t>
            </w:r>
          </w:p>
        </w:tc>
        <w:tc>
          <w:tcPr>
            <w:tcW w:w="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47,223</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48.8</w:t>
            </w:r>
          </w:p>
        </w:tc>
      </w:tr>
      <w:tr>
        <w:trPr>
          <w:trHeight w:val="155"/>
        </w:trPr>
        <w:tc>
          <w:tcPr>
            <w:tcW w:w="24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Used car inspection and</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205"/>
        </w:trPr>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certification</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57,480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65,326</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09"/>
        </w:trPr>
        <w:tc>
          <w:tcPr>
            <w:tcW w:w="2480" w:type="dxa"/>
            <w:vAlign w:val="bottom"/>
          </w:tcPr>
          <w:p>
            <w:pPr>
              <w:spacing w:after="0"/>
              <w:rPr>
                <w:sz w:val="20"/>
                <w:szCs w:val="20"/>
                <w:color w:val="auto"/>
              </w:rPr>
            </w:pPr>
            <w:r>
              <w:rPr>
                <w:rFonts w:ascii="Arial" w:cs="Arial" w:eastAsia="Arial" w:hAnsi="Arial"/>
                <w:sz w:val="14"/>
                <w:szCs w:val="14"/>
                <w:color w:val="auto"/>
              </w:rPr>
              <w:t>Financial product referral</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233,838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256,430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27.0</w:t>
            </w:r>
          </w:p>
        </w:tc>
        <w:tc>
          <w:tcPr>
            <w:tcW w:w="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Marketing and others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140,106</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130,003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135,799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19,419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91"/>
        </w:trPr>
        <w:tc>
          <w:tcPr>
            <w:tcW w:w="2480" w:type="dxa"/>
            <w:vAlign w:val="bottom"/>
          </w:tcPr>
          <w:p>
            <w:pPr>
              <w:spacing w:after="0"/>
              <w:rPr>
                <w:sz w:val="20"/>
                <w:szCs w:val="20"/>
                <w:color w:val="auto"/>
              </w:rPr>
            </w:pPr>
            <w:r>
              <w:rPr>
                <w:rFonts w:ascii="Arial" w:cs="Arial" w:eastAsia="Arial" w:hAnsi="Arial"/>
                <w:sz w:val="14"/>
                <w:szCs w:val="14"/>
                <w:b w:val="1"/>
                <w:bCs w:val="1"/>
                <w:color w:val="auto"/>
              </w:rPr>
              <w:t>Total transaction services revenue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768,754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84.6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855,251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90.2</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602,540</w:t>
            </w:r>
          </w:p>
        </w:tc>
        <w:tc>
          <w:tcPr>
            <w:tcW w:w="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3"/>
              </w:rPr>
              <w:t>86,162</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89.0</w:t>
            </w: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From a business management and strategic perspective, we view all of our transaction services as an integrated portfolio, aimed at facilitating auto merchants and their collaborators — whether dealers and brokers or OEMs or their collaborators — in completing crucial steps in their vehicle transactions, from the initial inventory acquisition and inspection to title registration and delivery. We have prioritized the cultivation of customer stickiness and long-term loyalty through the breadth and integration of our transaction services, over the singular pursuit of maximum revenue from any standalone service type. We have continuously been adding new services to our transaction services portfolio over the past years, and periodically adjust the variety, pricing and budgets within the portfolio to achieve an overall optimal outcome. As a result, the revenue mix within the transaction services may vary significantly from one period to another.</w:t>
      </w:r>
    </w:p>
    <w:p>
      <w:pPr>
        <w:spacing w:after="0" w:line="8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Currently, a substantial portion of our total revenue is generated by offering transaction services. We expect our transaction services revenue, as a percentage of our total revenue, to further increase in the near future, as we expand our addressable market and increase the penetration of our transaction services.</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Looking forward, we aim to expand and improve our breadth of services and offerings by continuing to integrate our dealership systems and services and integrating data across different systems and services, while continuing to improve our data analytics capabilities and technology to enhance transaction efficiency. We expect these efforts to further drive the growth of our transaction services revenue.</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Cost of Revenues; Gross Profit &amp; Gross Margin</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sets forth our cost of revenues, by business line and as a percentage of our total revenues for the years indicated.</w:t>
      </w:r>
    </w:p>
    <w:p>
      <w:pPr>
        <w:spacing w:after="0" w:line="101"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7"/>
          </w:tcPr>
          <w:p>
            <w:pPr>
              <w:ind w:left="140"/>
              <w:spacing w:after="0"/>
              <w:rPr>
                <w:sz w:val="20"/>
                <w:szCs w:val="20"/>
                <w:color w:val="auto"/>
              </w:rPr>
            </w:pPr>
            <w:r>
              <w:rPr>
                <w:rFonts w:ascii="Arial" w:cs="Arial" w:eastAsia="Arial" w:hAnsi="Arial"/>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980" w:type="dxa"/>
            <w:vAlign w:val="bottom"/>
            <w:gridSpan w:val="3"/>
          </w:tcPr>
          <w:p>
            <w:pPr>
              <w:jc w:val="right"/>
              <w:ind w:right="305"/>
              <w:spacing w:after="0"/>
              <w:rPr>
                <w:sz w:val="20"/>
                <w:szCs w:val="20"/>
                <w:color w:val="auto"/>
              </w:rPr>
            </w:pPr>
            <w:r>
              <w:rPr>
                <w:rFonts w:ascii="Arial" w:cs="Arial" w:eastAsia="Arial" w:hAnsi="Arial"/>
                <w:sz w:val="11"/>
                <w:szCs w:val="11"/>
                <w:b w:val="1"/>
                <w:bCs w:val="1"/>
                <w:color w:val="auto"/>
              </w:rPr>
              <w:t>2023</w:t>
            </w:r>
          </w:p>
        </w:tc>
        <w:tc>
          <w:tcPr>
            <w:tcW w:w="7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2024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RMB</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RMB</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US$</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8"/>
          </w:tcPr>
          <w:p>
            <w:pPr>
              <w:ind w:left="20"/>
              <w:spacing w:after="0"/>
              <w:rPr>
                <w:sz w:val="20"/>
                <w:szCs w:val="20"/>
                <w:color w:val="auto"/>
              </w:rPr>
            </w:pPr>
            <w:r>
              <w:rPr>
                <w:rFonts w:ascii="Arial" w:cs="Arial" w:eastAsia="Arial" w:hAnsi="Arial"/>
                <w:sz w:val="11"/>
                <w:szCs w:val="11"/>
                <w:b w:val="1"/>
                <w:bCs w:val="1"/>
                <w:color w:val="auto"/>
                <w:w w:val="98"/>
              </w:rPr>
              <w:t>(in thousands except percentage)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 of revenues:</w:t>
            </w:r>
          </w:p>
        </w:tc>
        <w:tc>
          <w:tcPr>
            <w:tcW w:w="5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4"/>
                <w:szCs w:val="14"/>
                <w:color w:val="auto"/>
              </w:rPr>
              <w:t>Digitalization solutions</w:t>
            </w:r>
          </w:p>
        </w:tc>
        <w:tc>
          <w:tcPr>
            <w:tcW w:w="500" w:type="dxa"/>
            <w:vAlign w:val="bottom"/>
          </w:tcPr>
          <w:p>
            <w:pPr>
              <w:jc w:val="right"/>
              <w:spacing w:after="0"/>
              <w:rPr>
                <w:sz w:val="20"/>
                <w:szCs w:val="20"/>
                <w:color w:val="auto"/>
              </w:rPr>
            </w:pPr>
            <w:r>
              <w:rPr>
                <w:rFonts w:ascii="Arial" w:cs="Arial" w:eastAsia="Arial" w:hAnsi="Arial"/>
                <w:sz w:val="14"/>
                <w:szCs w:val="14"/>
                <w:color w:val="auto"/>
              </w:rPr>
              <w:t>80,636</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42,079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4.4</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39,297</w:t>
            </w:r>
          </w:p>
        </w:tc>
        <w:tc>
          <w:tcPr>
            <w:tcW w:w="420" w:type="dxa"/>
            <w:vAlign w:val="bottom"/>
          </w:tcPr>
          <w:p>
            <w:pPr>
              <w:jc w:val="right"/>
              <w:spacing w:after="0"/>
              <w:rPr>
                <w:sz w:val="20"/>
                <w:szCs w:val="20"/>
                <w:color w:val="auto"/>
              </w:rPr>
            </w:pPr>
            <w:r>
              <w:rPr>
                <w:rFonts w:ascii="Arial" w:cs="Arial" w:eastAsia="Arial" w:hAnsi="Arial"/>
                <w:sz w:val="14"/>
                <w:szCs w:val="14"/>
                <w:color w:val="auto"/>
              </w:rPr>
              <w:t>5,619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Transaction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522,691</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615,447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7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377,365</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53,963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Total cost of revenues</w:t>
            </w: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4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603,327</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66.4</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657,526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69.3</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416,662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3"/>
              </w:rPr>
              <w:t>59,582</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61.5</w:t>
            </w:r>
          </w:p>
        </w:tc>
        <w:tc>
          <w:tcPr>
            <w:tcW w:w="0" w:type="dxa"/>
            <w:vAlign w:val="bottom"/>
          </w:tcPr>
          <w:p>
            <w:pPr>
              <w:spacing w:after="0"/>
              <w:rPr>
                <w:sz w:val="1"/>
                <w:szCs w:val="1"/>
                <w:color w:val="auto"/>
              </w:rPr>
            </w:pPr>
          </w:p>
        </w:tc>
      </w:tr>
      <w:tr>
        <w:trPr>
          <w:trHeight w:val="189"/>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Gross profit and gross margin:</w:t>
            </w: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4"/>
                <w:szCs w:val="14"/>
                <w:color w:val="auto"/>
              </w:rPr>
              <w:t>Digitalization solutions</w:t>
            </w:r>
          </w:p>
        </w:tc>
        <w:tc>
          <w:tcPr>
            <w:tcW w:w="500" w:type="dxa"/>
            <w:vAlign w:val="bottom"/>
          </w:tcPr>
          <w:p>
            <w:pPr>
              <w:jc w:val="right"/>
              <w:spacing w:after="0"/>
              <w:rPr>
                <w:sz w:val="20"/>
                <w:szCs w:val="20"/>
                <w:color w:val="auto"/>
              </w:rPr>
            </w:pPr>
            <w:r>
              <w:rPr>
                <w:rFonts w:ascii="Arial" w:cs="Arial" w:eastAsia="Arial" w:hAnsi="Arial"/>
                <w:sz w:val="14"/>
                <w:szCs w:val="14"/>
                <w:color w:val="auto"/>
              </w:rPr>
              <w:t>59,654</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42.5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50,897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54.7</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35,222</w:t>
            </w:r>
          </w:p>
        </w:tc>
        <w:tc>
          <w:tcPr>
            <w:tcW w:w="420" w:type="dxa"/>
            <w:vAlign w:val="bottom"/>
          </w:tcPr>
          <w:p>
            <w:pPr>
              <w:jc w:val="right"/>
              <w:spacing w:after="0"/>
              <w:rPr>
                <w:sz w:val="20"/>
                <w:szCs w:val="20"/>
                <w:color w:val="auto"/>
              </w:rPr>
            </w:pPr>
            <w:r>
              <w:rPr>
                <w:rFonts w:ascii="Arial" w:cs="Arial" w:eastAsia="Arial" w:hAnsi="Arial"/>
                <w:sz w:val="14"/>
                <w:szCs w:val="14"/>
                <w:color w:val="auto"/>
              </w:rPr>
              <w:t>5,037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Transaction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246,063</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239,804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7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225,175</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32,199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80" w:type="dxa"/>
            <w:vAlign w:val="bottom"/>
          </w:tcPr>
          <w:p>
            <w:pPr>
              <w:spacing w:after="0"/>
              <w:rPr>
                <w:sz w:val="20"/>
                <w:szCs w:val="20"/>
                <w:color w:val="auto"/>
              </w:rPr>
            </w:pPr>
            <w:r>
              <w:rPr>
                <w:rFonts w:ascii="Arial" w:cs="Arial" w:eastAsia="Arial" w:hAnsi="Arial"/>
                <w:sz w:val="14"/>
                <w:szCs w:val="14"/>
                <w:b w:val="1"/>
                <w:bCs w:val="1"/>
                <w:color w:val="auto"/>
              </w:rPr>
              <w:t>Gross profit/Gross margin</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305,717</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33.6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290,701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30.7</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260,397</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3"/>
              </w:rPr>
              <w:t>37,236</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38.5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color w:val="auto"/>
                <w:w w:val="94"/>
              </w:rPr>
              <w:t>139</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148" w:name="page149"/>
    <w:bookmarkEnd w:id="14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38" w:lineRule="auto"/>
        <w:tabs>
          <w:tab w:leader="none" w:pos="1783" w:val="left"/>
        </w:tabs>
        <w:numPr>
          <w:ilvl w:val="0"/>
          <w:numId w:val="62"/>
        </w:numPr>
        <w:rPr>
          <w:rFonts w:ascii="Arial" w:cs="Arial" w:eastAsia="Arial" w:hAnsi="Arial"/>
          <w:sz w:val="11"/>
          <w:szCs w:val="11"/>
          <w:color w:val="auto"/>
        </w:rPr>
      </w:pPr>
      <w:r>
        <w:rPr>
          <w:rFonts w:ascii="Arial" w:cs="Arial" w:eastAsia="Arial" w:hAnsi="Arial"/>
          <w:sz w:val="14"/>
          <w:szCs w:val="14"/>
          <w:i w:val="1"/>
          <w:iCs w:val="1"/>
          <w:u w:val="single" w:color="auto"/>
          <w:color w:val="auto"/>
        </w:rPr>
        <w:t>Digitalization solutions</w:t>
      </w:r>
      <w:r>
        <w:rPr>
          <w:rFonts w:ascii="Arial" w:cs="Arial" w:eastAsia="Arial" w:hAnsi="Arial"/>
          <w:sz w:val="14"/>
          <w:szCs w:val="14"/>
          <w:color w:val="auto"/>
        </w:rPr>
        <w:t>. Our cost of revenues for digitalization solutions primarily includes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costs related to the customer engagement solutions offered to OEMs and the maintenance and hosting of our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platforms. This encompasses: (i) primarily, personnel costs associated with our employees responsible for developing and delivering customer engagement solutions to OEMs; and (ii) to a lesser extent, fees paid for bandwidth and other technical support and services, such as digital mapping and location-based features, used in our digitalization solutions.</w:t>
      </w:r>
    </w:p>
    <w:p>
      <w:pPr>
        <w:spacing w:after="0" w:line="86" w:lineRule="exact"/>
        <w:rPr>
          <w:rFonts w:ascii="Arial" w:cs="Arial" w:eastAsia="Arial" w:hAnsi="Arial"/>
          <w:sz w:val="11"/>
          <w:szCs w:val="11"/>
          <w:color w:val="auto"/>
        </w:rPr>
      </w:pPr>
    </w:p>
    <w:p>
      <w:pPr>
        <w:ind w:left="1800" w:hanging="136"/>
        <w:spacing w:after="0"/>
        <w:tabs>
          <w:tab w:leader="none" w:pos="1800" w:val="left"/>
        </w:tabs>
        <w:numPr>
          <w:ilvl w:val="0"/>
          <w:numId w:val="62"/>
        </w:numPr>
        <w:rPr>
          <w:rFonts w:ascii="Arial" w:cs="Arial" w:eastAsia="Arial" w:hAnsi="Arial"/>
          <w:sz w:val="11"/>
          <w:szCs w:val="11"/>
          <w:color w:val="auto"/>
        </w:rPr>
      </w:pPr>
      <w:r>
        <w:rPr>
          <w:rFonts w:ascii="Arial" w:cs="Arial" w:eastAsia="Arial" w:hAnsi="Arial"/>
          <w:sz w:val="14"/>
          <w:szCs w:val="14"/>
          <w:i w:val="1"/>
          <w:iCs w:val="1"/>
          <w:u w:val="single" w:color="auto"/>
          <w:color w:val="auto"/>
        </w:rPr>
        <w:t>Transaction services</w:t>
      </w:r>
      <w:r>
        <w:rPr>
          <w:rFonts w:ascii="Arial" w:cs="Arial" w:eastAsia="Arial" w:hAnsi="Arial"/>
          <w:sz w:val="14"/>
          <w:szCs w:val="14"/>
          <w:color w:val="auto"/>
        </w:rPr>
        <w:t>.Our cost of revenues for transaction services primarily includes:</w:t>
      </w:r>
    </w:p>
    <w:p>
      <w:pPr>
        <w:spacing w:after="0" w:line="12" w:lineRule="exact"/>
        <w:rPr>
          <w:rFonts w:ascii="Arial" w:cs="Arial" w:eastAsia="Arial" w:hAnsi="Arial"/>
          <w:sz w:val="11"/>
          <w:szCs w:val="11"/>
          <w:color w:val="auto"/>
        </w:rPr>
      </w:pPr>
    </w:p>
    <w:p>
      <w:pPr>
        <w:jc w:val="both"/>
        <w:ind w:left="1800" w:right="1398"/>
        <w:spacing w:after="0" w:line="234" w:lineRule="auto"/>
        <w:rPr>
          <w:rFonts w:ascii="Arial" w:cs="Arial" w:eastAsia="Arial" w:hAnsi="Arial"/>
          <w:sz w:val="11"/>
          <w:szCs w:val="11"/>
          <w:color w:val="auto"/>
        </w:rPr>
      </w:pPr>
      <w:r>
        <w:rPr>
          <w:rFonts w:ascii="Arial" w:cs="Arial" w:eastAsia="Arial" w:hAnsi="Arial"/>
          <w:sz w:val="14"/>
          <w:szCs w:val="14"/>
          <w:color w:val="auto"/>
        </w:rPr>
        <w:t>(i) service fees paid to third-party service providers for fulfilling various transaction services for car dealers and OEMs, such as fees paid to third-party carriers and logistics companies for fulfilling car shipping orders for our customers, as well as fees paid to third-party inspectors for performing used car inspection and certification services, and fees paid to third parties in connection with financial product referral services; (ii) rental costs associated with the warehouses used for our delivery services; and (iii) costs associated with our marketing and other services delivered to OEMs.</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operating expenses consist of sales and marketing expenses, general and administrative expenses and research and development expenses. The following table sets forth a breakdown of our operating expenses, both in absolute amounts and as percentages of our total revenues, for the years indicated.</w:t>
      </w:r>
    </w:p>
    <w:p>
      <w:pPr>
        <w:spacing w:after="0" w:line="119"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4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1"/>
                <w:szCs w:val="11"/>
                <w:b w:val="1"/>
                <w:bCs w:val="1"/>
                <w:color w:val="auto"/>
                <w:w w:val="99"/>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320" w:type="dxa"/>
            <w:vAlign w:val="bottom"/>
          </w:tcPr>
          <w:p>
            <w:pPr>
              <w:spacing w:after="0"/>
              <w:rPr>
                <w:sz w:val="17"/>
                <w:szCs w:val="17"/>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2024</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RMB</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RMB</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RMB</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US$</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7"/>
          </w:tcPr>
          <w:p>
            <w:pPr>
              <w:jc w:val="center"/>
              <w:spacing w:after="0"/>
              <w:rPr>
                <w:sz w:val="20"/>
                <w:szCs w:val="20"/>
                <w:color w:val="auto"/>
              </w:rPr>
            </w:pPr>
            <w:r>
              <w:rPr>
                <w:rFonts w:ascii="Arial" w:cs="Arial" w:eastAsia="Arial" w:hAnsi="Arial"/>
                <w:sz w:val="11"/>
                <w:szCs w:val="11"/>
                <w:b w:val="1"/>
                <w:bCs w:val="1"/>
                <w:color w:val="auto"/>
              </w:rPr>
              <w:t>(in thousands except percentage)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5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20"/>
                <w:szCs w:val="20"/>
                <w:color w:val="auto"/>
              </w:rPr>
            </w:pPr>
            <w:r>
              <w:rPr>
                <w:rFonts w:ascii="Arial" w:cs="Arial" w:eastAsia="Arial" w:hAnsi="Arial"/>
                <w:sz w:val="14"/>
                <w:szCs w:val="14"/>
                <w:color w:val="auto"/>
              </w:rPr>
              <w:t>Sales and marketing expenses</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265,179</w:t>
            </w:r>
          </w:p>
        </w:tc>
        <w:tc>
          <w:tcPr>
            <w:tcW w:w="320" w:type="dxa"/>
            <w:vAlign w:val="bottom"/>
          </w:tcPr>
          <w:p>
            <w:pPr>
              <w:jc w:val="right"/>
              <w:spacing w:after="0"/>
              <w:rPr>
                <w:sz w:val="20"/>
                <w:szCs w:val="20"/>
                <w:color w:val="auto"/>
              </w:rPr>
            </w:pPr>
            <w:r>
              <w:rPr>
                <w:rFonts w:ascii="Arial" w:cs="Arial" w:eastAsia="Arial" w:hAnsi="Arial"/>
                <w:sz w:val="14"/>
                <w:szCs w:val="14"/>
                <w:color w:val="auto"/>
              </w:rPr>
              <w:t>29.2</w:t>
            </w:r>
          </w:p>
        </w:tc>
        <w:tc>
          <w:tcPr>
            <w:tcW w:w="600" w:type="dxa"/>
            <w:vAlign w:val="bottom"/>
            <w:gridSpan w:val="2"/>
          </w:tcPr>
          <w:p>
            <w:pPr>
              <w:jc w:val="center"/>
              <w:ind w:left="35"/>
              <w:spacing w:after="0"/>
              <w:rPr>
                <w:sz w:val="20"/>
                <w:szCs w:val="20"/>
                <w:color w:val="auto"/>
              </w:rPr>
            </w:pPr>
            <w:r>
              <w:rPr>
                <w:rFonts w:ascii="Arial" w:cs="Arial" w:eastAsia="Arial" w:hAnsi="Arial"/>
                <w:sz w:val="14"/>
                <w:szCs w:val="14"/>
                <w:color w:val="auto"/>
                <w:w w:val="98"/>
              </w:rPr>
              <w:t>277,584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198,760</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28,422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145,509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600" w:type="dxa"/>
            <w:vAlign w:val="bottom"/>
            <w:gridSpan w:val="2"/>
            <w:shd w:val="clear" w:color="auto" w:fill="CCEEFF"/>
          </w:tcPr>
          <w:p>
            <w:pPr>
              <w:jc w:val="center"/>
              <w:ind w:left="35"/>
              <w:spacing w:after="0"/>
              <w:rPr>
                <w:sz w:val="20"/>
                <w:szCs w:val="20"/>
                <w:color w:val="auto"/>
              </w:rPr>
            </w:pPr>
            <w:r>
              <w:rPr>
                <w:rFonts w:ascii="Arial" w:cs="Arial" w:eastAsia="Arial" w:hAnsi="Arial"/>
                <w:sz w:val="14"/>
                <w:szCs w:val="14"/>
                <w:color w:val="auto"/>
                <w:w w:val="98"/>
              </w:rPr>
              <w:t>101,628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78,909</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37"/>
        </w:trPr>
        <w:tc>
          <w:tcPr>
            <w:tcW w:w="2480" w:type="dxa"/>
            <w:vAlign w:val="bottom"/>
          </w:tcPr>
          <w:p>
            <w:pPr>
              <w:spacing w:after="0" w:line="137" w:lineRule="exact"/>
              <w:rPr>
                <w:sz w:val="20"/>
                <w:szCs w:val="20"/>
                <w:color w:val="auto"/>
              </w:rPr>
            </w:pPr>
            <w:r>
              <w:rPr>
                <w:rFonts w:ascii="Arial" w:cs="Arial" w:eastAsia="Arial" w:hAnsi="Arial"/>
                <w:sz w:val="14"/>
                <w:szCs w:val="14"/>
                <w:color w:val="auto"/>
              </w:rPr>
              <w:t>Research and development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480" w:type="dxa"/>
            <w:vAlign w:val="bottom"/>
          </w:tcPr>
          <w:p>
            <w:pPr>
              <w:ind w:left="140"/>
              <w:spacing w:after="0"/>
              <w:rPr>
                <w:sz w:val="20"/>
                <w:szCs w:val="20"/>
                <w:color w:val="auto"/>
              </w:rPr>
            </w:pPr>
            <w:r>
              <w:rPr>
                <w:rFonts w:ascii="Arial" w:cs="Arial" w:eastAsia="Arial" w:hAnsi="Arial"/>
                <w:sz w:val="14"/>
                <w:szCs w:val="14"/>
                <w:color w:val="auto"/>
              </w:rPr>
              <w:t>expenses</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85,600</w:t>
            </w:r>
          </w:p>
        </w:tc>
        <w:tc>
          <w:tcPr>
            <w:tcW w:w="320" w:type="dxa"/>
            <w:vAlign w:val="bottom"/>
          </w:tcPr>
          <w:p>
            <w:pPr>
              <w:jc w:val="right"/>
              <w:spacing w:after="0"/>
              <w:rPr>
                <w:sz w:val="20"/>
                <w:szCs w:val="20"/>
                <w:color w:val="auto"/>
              </w:rPr>
            </w:pPr>
            <w:r>
              <w:rPr>
                <w:rFonts w:ascii="Arial" w:cs="Arial" w:eastAsia="Arial" w:hAnsi="Arial"/>
                <w:sz w:val="14"/>
                <w:szCs w:val="14"/>
                <w:color w:val="auto"/>
              </w:rPr>
              <w:t>9.4</w:t>
            </w:r>
          </w:p>
        </w:tc>
        <w:tc>
          <w:tcPr>
            <w:tcW w:w="600" w:type="dxa"/>
            <w:vAlign w:val="bottom"/>
            <w:gridSpan w:val="2"/>
          </w:tcPr>
          <w:p>
            <w:pPr>
              <w:jc w:val="center"/>
              <w:ind w:left="35"/>
              <w:spacing w:after="0"/>
              <w:rPr>
                <w:sz w:val="20"/>
                <w:szCs w:val="20"/>
                <w:color w:val="auto"/>
              </w:rPr>
            </w:pPr>
            <w:r>
              <w:rPr>
                <w:rFonts w:ascii="Arial" w:cs="Arial" w:eastAsia="Arial" w:hAnsi="Arial"/>
                <w:sz w:val="14"/>
                <w:szCs w:val="14"/>
                <w:color w:val="auto"/>
                <w:w w:val="98"/>
              </w:rPr>
              <w:t>100,039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10.6</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84,662</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12,107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operating expenses</w:t>
            </w: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80" w:type="dxa"/>
            <w:vAlign w:val="bottom"/>
            <w:vMerge w:val="continue"/>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4"/>
              </w:rPr>
              <w:t>496,288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w:t>
            </w:r>
          </w:p>
        </w:tc>
        <w:tc>
          <w:tcPr>
            <w:tcW w:w="600" w:type="dxa"/>
            <w:vAlign w:val="bottom"/>
            <w:gridSpan w:val="2"/>
            <w:shd w:val="clear" w:color="auto" w:fill="CCEEFF"/>
          </w:tcPr>
          <w:p>
            <w:pPr>
              <w:jc w:val="center"/>
              <w:ind w:left="35"/>
              <w:spacing w:after="0"/>
              <w:rPr>
                <w:sz w:val="20"/>
                <w:szCs w:val="20"/>
                <w:color w:val="auto"/>
              </w:rPr>
            </w:pPr>
            <w:r>
              <w:rPr>
                <w:rFonts w:ascii="Arial" w:cs="Arial" w:eastAsia="Arial" w:hAnsi="Arial"/>
                <w:sz w:val="14"/>
                <w:szCs w:val="14"/>
                <w:b w:val="1"/>
                <w:bCs w:val="1"/>
                <w:color w:val="auto"/>
                <w:w w:val="98"/>
              </w:rPr>
              <w:t>479,251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50.6</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8"/>
              </w:rPr>
              <w:t>362,331</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51,813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Sales and marketing expenses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sales and marketing expenses consist primarily of personnel costs, mainly including salaries and benefits for our sales and marketing teams and expenses associated with marketing and promotional activities, such as those associated with brand building, customer outreach and other promotional events. It also includes, to a lesser extent, rental and office administrative expenses and others, including depreciation and amortization.</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As we plan to continue to invest in sales and marketing to promote our brand awareness as well as retain current customers while attracting new ones, we expect our sales and marketing expenses to increase in absolute amount in the near future.</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general and administrative expenses consist primarily of: (i) personnel costs, including salaries and benefits for our administrative staff; (ii) fees paid to auditors and external legal counsels, as well as fees paid to third parties to whom we outsource some of our human resources and IT functions; (iii) rental and office administrative expenses; and (iv) other expenses, such as depreciation and amortization. We expect general and administrative expenses to increase in absolute amount as we continue to scale our business.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49" w:name="page150"/>
    <w:bookmarkEnd w:id="14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Research and development expenses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research and development expenses primarily consist of: (i) personnel costs, including salaries and benefits for our research and development staff; (ii) expenses incurred to procure third-party R&amp;D and other professional services; and (iii) depreciation and amortization. We invested heavily in technology in the past. For details, see “Business — Our Data Capabilities and Technologies.”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Other Income/(Expenses)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Other income/(expenses) primarily consists of (i) interest income (expense), net, which consists mainly of the interest earned on wealth management products we purchased for cash management purposes as well as interest paid on borrowings from commercial banks; (ii) foreign exchange (loss) gain, net, primarily due to fluctuations in foreign exchange rates; and (iii) others, net, consisting mainly of penalties or damages resulting from certain disputes.</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Non-GAAP Financial Measure</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use adjusted loss for the year, which is a non-GAAP financial measure, in evaluating our operating results and for financial and operational decision-making purposes. We believe that adjusted loss for the year provides useful information about our results of operations and enhances the overall understanding of our past performance and future prospects.</w:t>
      </w:r>
    </w:p>
    <w:p>
      <w:pPr>
        <w:spacing w:after="0" w:line="6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Adjusted loss for the year should not be considered in isolation or construed as an alternative to loss from operations, net loss for the year or any other measure of performance or as an indicator of our operating performance. Investors are encouraged to review adjusted loss for the year and the reconciliation to its most directly comparable U.S. GAAP measure. Adjusted loss for the year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8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Adjusted loss for the year represents net loss for the year excluding share-based compensation expenses and intangible asset amortization, which we do not consider to be indicative of our core operating performance. The table below sets forth a reconciliation of our net loss for the year to adjusted loss for the period for the years indicated.</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10"/>
          </w:tcPr>
          <w:p>
            <w:pPr>
              <w:jc w:val="right"/>
              <w:ind w:right="880"/>
              <w:spacing w:after="0"/>
              <w:rPr>
                <w:sz w:val="20"/>
                <w:szCs w:val="20"/>
                <w:color w:val="auto"/>
              </w:rPr>
            </w:pPr>
            <w:r>
              <w:rPr>
                <w:rFonts w:ascii="Arial" w:cs="Arial" w:eastAsia="Arial" w:hAnsi="Arial"/>
                <w:sz w:val="11"/>
                <w:szCs w:val="11"/>
                <w:b w:val="1"/>
                <w:bCs w:val="1"/>
                <w:color w:val="auto"/>
              </w:rPr>
              <w:t>For the Year Ended December 31,</w:t>
            </w:r>
          </w:p>
        </w:tc>
      </w:tr>
      <w:tr>
        <w:trPr>
          <w:trHeight w:val="198"/>
        </w:trPr>
        <w:tc>
          <w:tcPr>
            <w:tcW w:w="2720" w:type="dxa"/>
            <w:vAlign w:val="bottom"/>
          </w:tcPr>
          <w:p>
            <w:pPr>
              <w:spacing w:after="0"/>
              <w:rPr>
                <w:sz w:val="17"/>
                <w:szCs w:val="17"/>
                <w:color w:val="auto"/>
              </w:rPr>
            </w:pPr>
          </w:p>
        </w:tc>
        <w:tc>
          <w:tcPr>
            <w:tcW w:w="680" w:type="dxa"/>
            <w:vAlign w:val="bottom"/>
          </w:tcPr>
          <w:p>
            <w:pPr>
              <w:jc w:val="right"/>
              <w:ind w:right="95"/>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595"/>
              <w:spacing w:after="0"/>
              <w:rPr>
                <w:sz w:val="20"/>
                <w:szCs w:val="20"/>
                <w:color w:val="auto"/>
              </w:rPr>
            </w:pPr>
            <w:r>
              <w:rPr>
                <w:rFonts w:ascii="Arial" w:cs="Arial" w:eastAsia="Arial" w:hAnsi="Arial"/>
                <w:sz w:val="11"/>
                <w:szCs w:val="11"/>
                <w:b w:val="1"/>
                <w:bCs w:val="1"/>
                <w:color w:val="auto"/>
                <w:w w:val="89"/>
              </w:rPr>
              <w:t>2025</w:t>
            </w:r>
          </w:p>
        </w:tc>
        <w:tc>
          <w:tcPr>
            <w:tcW w:w="100" w:type="dxa"/>
            <w:vAlign w:val="bottom"/>
          </w:tcPr>
          <w:p>
            <w:pPr>
              <w:spacing w:after="0"/>
              <w:rPr>
                <w:sz w:val="17"/>
                <w:szCs w:val="17"/>
                <w:color w:val="auto"/>
              </w:rPr>
            </w:pPr>
          </w:p>
        </w:tc>
      </w:tr>
      <w:tr>
        <w:trPr>
          <w:trHeight w:val="208"/>
        </w:trPr>
        <w:tc>
          <w:tcPr>
            <w:tcW w:w="27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rPr>
              <w:t>US$</w:t>
            </w:r>
          </w:p>
        </w:tc>
      </w:tr>
      <w:tr>
        <w:trPr>
          <w:trHeight w:val="198"/>
        </w:trPr>
        <w:tc>
          <w:tcPr>
            <w:tcW w:w="2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(in thousands)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2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(GAAP)</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(186,580)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(157,122)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(94,559)</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(13,522)</w:t>
            </w:r>
          </w:p>
        </w:tc>
      </w:tr>
      <w:tr>
        <w:trPr>
          <w:trHeight w:val="209"/>
        </w:trPr>
        <w:tc>
          <w:tcPr>
            <w:tcW w:w="27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7"/>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 amortization</w:t>
            </w:r>
            <w:r>
              <w:rPr>
                <w:rFonts w:ascii="Arial" w:cs="Arial" w:eastAsia="Arial" w:hAnsi="Arial"/>
                <w:sz w:val="16"/>
                <w:szCs w:val="16"/>
                <w:color w:val="auto"/>
                <w:vertAlign w:val="superscript"/>
              </w:rPr>
              <w:t>(1)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23,179</w:t>
            </w: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c>
          <w:tcPr>
            <w:tcW w:w="100" w:type="dxa"/>
            <w:vAlign w:val="bottom"/>
            <w:shd w:val="clear" w:color="auto" w:fill="CCEEFF"/>
          </w:tcPr>
          <w:p>
            <w:pPr>
              <w:spacing w:after="0"/>
              <w:rPr>
                <w:sz w:val="19"/>
                <w:szCs w:val="19"/>
                <w:color w:val="auto"/>
              </w:rPr>
            </w:pPr>
          </w:p>
        </w:tc>
      </w:tr>
      <w:tr>
        <w:trPr>
          <w:trHeight w:val="188"/>
        </w:trPr>
        <w:tc>
          <w:tcPr>
            <w:tcW w:w="2720" w:type="dxa"/>
            <w:vAlign w:val="bottom"/>
          </w:tcPr>
          <w:p>
            <w:pPr>
              <w:spacing w:after="0"/>
              <w:rPr>
                <w:sz w:val="20"/>
                <w:szCs w:val="20"/>
                <w:color w:val="auto"/>
              </w:rPr>
            </w:pPr>
            <w:r>
              <w:rPr>
                <w:rFonts w:ascii="Arial" w:cs="Arial" w:eastAsia="Arial" w:hAnsi="Arial"/>
                <w:sz w:val="14"/>
                <w:szCs w:val="14"/>
                <w:b w:val="1"/>
                <w:bCs w:val="1"/>
                <w:color w:val="auto"/>
              </w:rPr>
              <w:t>Adjusted net loss (non-GAAP)</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(159,450)</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(134,792)</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(71,380)</w:t>
            </w: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(10,207)</w:t>
            </w:r>
          </w:p>
        </w:tc>
      </w:tr>
      <w:tr>
        <w:trPr>
          <w:trHeight w:val="20"/>
        </w:trPr>
        <w:tc>
          <w:tcPr>
            <w:tcW w:w="2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Note: (1) Represents amortization of intangible assets resulting from business combinations.</w:t>
      </w:r>
    </w:p>
    <w:p>
      <w:pPr>
        <w:spacing w:after="0" w:line="15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Taxation</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Cayman Islands</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0" w:name="page151"/>
    <w:bookmarkEnd w:id="15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British Virgin Islands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Some of our subsidiaries are companies incorporated in the British Virgin Islands. Under the current law of the British Virgin Islands, we are not subject to income, corporation or capital gains tax in the British Virgin Islands. In addition, payment of dividends by the British Virgin Islands subsidiaries to their respective shareholders who are not resident in the British Virgin Islands, if any, is not subject to withholding tax in the British Virgin Islands.</w:t>
      </w:r>
    </w:p>
    <w:p>
      <w:pPr>
        <w:spacing w:after="0" w:line="12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Hong Kong</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subsidiary in Hong Kong is subject to an income tax rate of 16.5% on the estimated assessable profits arising in Hong Kong. Additionally, payments of dividends by our subsidiary in Hong Kong to our company are not subject to any Hong Kong withholding tax.</w:t>
      </w:r>
    </w:p>
    <w:p>
      <w:pPr>
        <w:spacing w:after="0" w:line="11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PRC</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current enterprise income tax law (“EIT Law”) applies a uniform 25% EIT rate to both foreign invested enterprises and domestic enterprises, except for domestic enterprises qualified as small and micro enterprises (“MSME”) and High and New Technology Enterprise (“HNTE”). If the entity qualified as an MSME, then its taxable income will be taxed at 20% subject to certain taxable income exemptions. In accordance with the PRC Income Tax Law, an enterprise awarded with the HNTE certificate may enjoy a reduced EIT rate of 15% subject to a requirement that they re-apply for HNTE status every three years.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EIT Law treats enterprises established outside of the PRC with “effective management and control” located in the PRC as PRC resident enterprises for tax purposes. The term “effective management and control” is generally defined as exercising management and control over the business, personnel, accounting and properties etc. of an enterprise. We are located in jurisdictions outside of the PRC; however, if we are considered a PRC resident enterprise for tax purposes, it would be subject to the PRC enterprise income tax rate of 25% on its worldwide income commencing on January 1, 2008. For the tax years ended December 31, 2023, we have not accrued for PRC tax on such basis as our non-PRC entities had zero assessable profits in the PRC for the period. We will continue to monitor the tax status with regards to the PRC tax resident enterprise regulation of its non-PRC entities.</w:t>
      </w:r>
    </w:p>
    <w:p>
      <w:pPr>
        <w:spacing w:after="0" w:line="6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Dividends paid by our wholly foreign-owned subsidiaries in China to our intermediary holding companies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Capital and receives approval from the relevant tax authority. If a Hong Kong subsidiary satisfies all the requirements under the tax arrangement and receives approval from the relevant tax authority, then the dividends paid to the Hong Kong subsidiary would be subject to withholding tax at the standard rate of 5%. See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6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enterprise income tax purposes, such classification could result in unfavorable tax consequences to us and our non-PRC shareholders and ADS holders.”</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1" w:name="page152"/>
    <w:bookmarkEnd w:id="15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Critical Accounting Estimates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prepare our financial statements in conformity with U.S. GAAP, which requires us to make judgments, estimates and assumptions. We continually evaluate these estimates and assumptions based on the most recent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grant options to our employees with performance conditions and service conditions. We account for share-based compensation in accordance with ASC Topic 718, Compensation-Stock Compensation, (“ASC 718”). We determine whether a share-based award should be accounted for as a liability award or equity award. All of our share-based awards to employees were classified as equity awards and are recognized in the combined and consolidated financial statements based on their grant date fair values. For awards only with service conditions, we have elected to recognize compensation expense using the straight-line method for awards granted with graded vesting provided that the amount of compensation cost recognized at any date is at least equal to the portion of the grant date value of the shares that are vested at that date. For awards with performance and service conditions, we use the accelerated method for awards granted with graded vesting. We account for forfeitures as they occur.</w:t>
      </w:r>
    </w:p>
    <w:p>
      <w:pPr>
        <w:spacing w:after="0" w:line="13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Fair value of employee share options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share price upon which (i.e. the exercise multiple) the employees are likely to exercise options.</w:t>
      </w:r>
    </w:p>
    <w:p>
      <w:pPr>
        <w:spacing w:after="0" w:line="6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assumptions used to estimate the fair value of the share options granted to employees were as follows:</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2026</w:t>
            </w:r>
          </w:p>
        </w:tc>
      </w:tr>
      <w:tr>
        <w:trPr>
          <w:trHeight w:val="214"/>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4.5</w:t>
            </w:r>
          </w:p>
        </w:tc>
        <w:tc>
          <w:tcPr>
            <w:tcW w:w="1020" w:type="dxa"/>
            <w:vAlign w:val="bottom"/>
            <w:gridSpan w:val="3"/>
            <w:shd w:val="clear" w:color="auto" w:fill="CCEEFF"/>
          </w:tcPr>
          <w:p>
            <w:pPr>
              <w:jc w:val="center"/>
              <w:ind w:left="31"/>
              <w:spacing w:after="0"/>
              <w:rPr>
                <w:sz w:val="20"/>
                <w:szCs w:val="20"/>
                <w:color w:val="auto"/>
              </w:rPr>
            </w:pPr>
            <w:r>
              <w:rPr>
                <w:rFonts w:ascii="Arial" w:cs="Arial" w:eastAsia="Arial" w:hAnsi="Arial"/>
                <w:sz w:val="14"/>
                <w:szCs w:val="14"/>
                <w:color w:val="auto"/>
              </w:rPr>
              <w:t>4.3</w:t>
            </w:r>
          </w:p>
        </w:tc>
      </w:tr>
      <w:tr>
        <w:trPr>
          <w:trHeight w:val="209"/>
        </w:trPr>
        <w:tc>
          <w:tcPr>
            <w:tcW w:w="2500" w:type="dxa"/>
            <w:vAlign w:val="bottom"/>
          </w:tcPr>
          <w:p>
            <w:pPr>
              <w:spacing w:after="0"/>
              <w:rPr>
                <w:sz w:val="20"/>
                <w:szCs w:val="20"/>
                <w:color w:val="auto"/>
              </w:rPr>
            </w:pPr>
            <w:r>
              <w:rPr>
                <w:rFonts w:ascii="Arial" w:cs="Arial" w:eastAsia="Arial" w:hAnsi="Arial"/>
                <w:sz w:val="14"/>
                <w:szCs w:val="14"/>
                <w:color w:val="auto"/>
              </w:rPr>
              <w:t>Expected volatility (%)</w:t>
            </w:r>
          </w:p>
        </w:tc>
        <w:tc>
          <w:tcPr>
            <w:tcW w:w="340" w:type="dxa"/>
            <w:vAlign w:val="bottom"/>
          </w:tcPr>
          <w:p>
            <w:pPr>
              <w:jc w:val="right"/>
              <w:spacing w:after="0"/>
              <w:rPr>
                <w:sz w:val="20"/>
                <w:szCs w:val="20"/>
                <w:color w:val="auto"/>
              </w:rPr>
            </w:pPr>
            <w:r>
              <w:rPr>
                <w:rFonts w:ascii="Arial" w:cs="Arial" w:eastAsia="Arial" w:hAnsi="Arial"/>
                <w:sz w:val="14"/>
                <w:szCs w:val="14"/>
                <w:color w:val="auto"/>
              </w:rPr>
              <w:t>41.9</w:t>
            </w:r>
          </w:p>
        </w:tc>
        <w:tc>
          <w:tcPr>
            <w:tcW w:w="500" w:type="dxa"/>
            <w:vAlign w:val="bottom"/>
          </w:tcPr>
          <w:p>
            <w:pPr>
              <w:ind w:left="40"/>
              <w:spacing w:after="0"/>
              <w:rPr>
                <w:sz w:val="20"/>
                <w:szCs w:val="20"/>
                <w:color w:val="auto"/>
              </w:rPr>
            </w:pPr>
            <w:r>
              <w:rPr>
                <w:rFonts w:ascii="Arial" w:cs="Arial" w:eastAsia="Arial" w:hAnsi="Arial"/>
                <w:sz w:val="14"/>
                <w:szCs w:val="14"/>
                <w:color w:val="auto"/>
              </w:rPr>
              <w:t>– 42.6</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42.4</w:t>
            </w:r>
          </w:p>
        </w:tc>
        <w:tc>
          <w:tcPr>
            <w:tcW w:w="500" w:type="dxa"/>
            <w:vAlign w:val="bottom"/>
          </w:tcPr>
          <w:p>
            <w:pPr>
              <w:ind w:left="40"/>
              <w:spacing w:after="0"/>
              <w:rPr>
                <w:sz w:val="20"/>
                <w:szCs w:val="20"/>
                <w:color w:val="auto"/>
              </w:rPr>
            </w:pPr>
            <w:r>
              <w:rPr>
                <w:rFonts w:ascii="Arial" w:cs="Arial" w:eastAsia="Arial" w:hAnsi="Arial"/>
                <w:sz w:val="14"/>
                <w:szCs w:val="14"/>
                <w:color w:val="auto"/>
              </w:rPr>
              <w:t>– 43.1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43.1</w:t>
            </w:r>
          </w:p>
        </w:tc>
        <w:tc>
          <w:tcPr>
            <w:tcW w:w="500" w:type="dxa"/>
            <w:vAlign w:val="bottom"/>
          </w:tcPr>
          <w:p>
            <w:pPr>
              <w:ind w:left="40"/>
              <w:spacing w:after="0"/>
              <w:rPr>
                <w:sz w:val="20"/>
                <w:szCs w:val="20"/>
                <w:color w:val="auto"/>
              </w:rPr>
            </w:pPr>
            <w:r>
              <w:rPr>
                <w:rFonts w:ascii="Arial" w:cs="Arial" w:eastAsia="Arial" w:hAnsi="Arial"/>
                <w:sz w:val="14"/>
                <w:szCs w:val="14"/>
                <w:color w:val="auto"/>
              </w:rPr>
              <w:t>– 45.5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46.1</w:t>
            </w:r>
          </w:p>
        </w:tc>
        <w:tc>
          <w:tcPr>
            <w:tcW w:w="540" w:type="dxa"/>
            <w:vAlign w:val="bottom"/>
          </w:tcPr>
          <w:p>
            <w:pPr>
              <w:ind w:left="40"/>
              <w:spacing w:after="0"/>
              <w:rPr>
                <w:sz w:val="20"/>
                <w:szCs w:val="20"/>
                <w:color w:val="auto"/>
              </w:rPr>
            </w:pPr>
            <w:r>
              <w:rPr>
                <w:rFonts w:ascii="Arial" w:cs="Arial" w:eastAsia="Arial" w:hAnsi="Arial"/>
                <w:sz w:val="14"/>
                <w:szCs w:val="14"/>
                <w:color w:val="auto"/>
              </w:rPr>
              <w:t>– 46.2</w:t>
            </w:r>
          </w:p>
        </w:tc>
      </w:tr>
      <w:tr>
        <w:trPr>
          <w:trHeight w:val="227"/>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 (%)</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25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right="331"/>
              <w:spacing w:after="0"/>
              <w:rPr>
                <w:sz w:val="20"/>
                <w:szCs w:val="20"/>
                <w:color w:val="auto"/>
              </w:rPr>
            </w:pPr>
            <w:r>
              <w:rPr>
                <w:rFonts w:ascii="Arial" w:cs="Arial" w:eastAsia="Arial" w:hAnsi="Arial"/>
                <w:sz w:val="14"/>
                <w:szCs w:val="14"/>
                <w:color w:val="auto"/>
                <w:w w:val="99"/>
              </w:rPr>
              <w:t>—</w:t>
            </w:r>
          </w:p>
        </w:tc>
      </w:tr>
      <w:tr>
        <w:trPr>
          <w:trHeight w:val="200"/>
        </w:trPr>
        <w:tc>
          <w:tcPr>
            <w:tcW w:w="2500" w:type="dxa"/>
            <w:vAlign w:val="bottom"/>
          </w:tcPr>
          <w:p>
            <w:pPr>
              <w:spacing w:after="0"/>
              <w:rPr>
                <w:sz w:val="20"/>
                <w:szCs w:val="20"/>
                <w:color w:val="auto"/>
              </w:rPr>
            </w:pPr>
            <w:r>
              <w:rPr>
                <w:rFonts w:ascii="Arial" w:cs="Arial" w:eastAsia="Arial" w:hAnsi="Arial"/>
                <w:sz w:val="14"/>
                <w:szCs w:val="14"/>
                <w:color w:val="auto"/>
              </w:rPr>
              <w:t>Exercise multiple</w:t>
            </w: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c>
          <w:tcPr>
            <w:tcW w:w="500" w:type="dxa"/>
            <w:vAlign w:val="bottom"/>
          </w:tcPr>
          <w:p>
            <w:pPr>
              <w:ind w:left="40"/>
              <w:spacing w:after="0"/>
              <w:rPr>
                <w:sz w:val="20"/>
                <w:szCs w:val="20"/>
                <w:color w:val="auto"/>
              </w:rPr>
            </w:pPr>
            <w:r>
              <w:rPr>
                <w:rFonts w:ascii="Arial" w:cs="Arial" w:eastAsia="Arial" w:hAnsi="Arial"/>
                <w:sz w:val="14"/>
                <w:szCs w:val="14"/>
                <w:color w:val="auto"/>
              </w:rPr>
              <w:t>– 2.8</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500" w:type="dxa"/>
            <w:vAlign w:val="bottom"/>
          </w:tcPr>
          <w:p>
            <w:pPr>
              <w:ind w:left="40"/>
              <w:spacing w:after="0"/>
              <w:rPr>
                <w:sz w:val="20"/>
                <w:szCs w:val="20"/>
                <w:color w:val="auto"/>
              </w:rPr>
            </w:pPr>
            <w:r>
              <w:rPr>
                <w:rFonts w:ascii="Arial" w:cs="Arial" w:eastAsia="Arial" w:hAnsi="Arial"/>
                <w:sz w:val="14"/>
                <w:szCs w:val="14"/>
                <w:color w:val="auto"/>
              </w:rPr>
              <w:t>– 2.8</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500" w:type="dxa"/>
            <w:vAlign w:val="bottom"/>
          </w:tcPr>
          <w:p>
            <w:pPr>
              <w:ind w:left="40"/>
              <w:spacing w:after="0"/>
              <w:rPr>
                <w:sz w:val="20"/>
                <w:szCs w:val="20"/>
                <w:color w:val="auto"/>
              </w:rPr>
            </w:pPr>
            <w:r>
              <w:rPr>
                <w:rFonts w:ascii="Arial" w:cs="Arial" w:eastAsia="Arial" w:hAnsi="Arial"/>
                <w:sz w:val="14"/>
                <w:szCs w:val="14"/>
                <w:color w:val="auto"/>
              </w:rPr>
              <w:t>– 2.8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540" w:type="dxa"/>
            <w:vAlign w:val="bottom"/>
          </w:tcPr>
          <w:p>
            <w:pPr>
              <w:ind w:left="40"/>
              <w:spacing w:after="0"/>
              <w:rPr>
                <w:sz w:val="20"/>
                <w:szCs w:val="20"/>
                <w:color w:val="auto"/>
              </w:rPr>
            </w:pPr>
            <w:r>
              <w:rPr>
                <w:rFonts w:ascii="Arial" w:cs="Arial" w:eastAsia="Arial" w:hAnsi="Arial"/>
                <w:sz w:val="14"/>
                <w:szCs w:val="14"/>
                <w:color w:val="auto"/>
              </w:rPr>
              <w:t>– 2.8</w:t>
            </w:r>
          </w:p>
        </w:tc>
      </w:tr>
      <w:tr>
        <w:trPr>
          <w:trHeight w:val="155"/>
        </w:trPr>
        <w:tc>
          <w:tcPr>
            <w:tcW w:w="2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Fair value of an underlying ordinary</w:t>
            </w: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205"/>
        </w:trPr>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(US$)</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0.67</w:t>
            </w:r>
          </w:p>
        </w:tc>
      </w:tr>
      <w:tr>
        <w:trPr>
          <w:trHeight w:val="200"/>
        </w:trPr>
        <w:tc>
          <w:tcPr>
            <w:tcW w:w="2500" w:type="dxa"/>
            <w:vAlign w:val="bottom"/>
          </w:tcPr>
          <w:p>
            <w:pPr>
              <w:spacing w:after="0"/>
              <w:rPr>
                <w:sz w:val="20"/>
                <w:szCs w:val="20"/>
                <w:color w:val="auto"/>
              </w:rPr>
            </w:pPr>
            <w:r>
              <w:rPr>
                <w:rFonts w:ascii="Arial" w:cs="Arial" w:eastAsia="Arial" w:hAnsi="Arial"/>
                <w:sz w:val="14"/>
                <w:szCs w:val="14"/>
                <w:color w:val="auto"/>
              </w:rPr>
              <w:t>Expected term</w:t>
            </w:r>
          </w:p>
        </w:tc>
        <w:tc>
          <w:tcPr>
            <w:tcW w:w="340" w:type="dxa"/>
            <w:vAlign w:val="bottom"/>
          </w:tcPr>
          <w:p>
            <w:pPr>
              <w:jc w:val="right"/>
              <w:spacing w:after="0"/>
              <w:rPr>
                <w:sz w:val="20"/>
                <w:szCs w:val="20"/>
                <w:color w:val="auto"/>
              </w:rPr>
            </w:pPr>
            <w:r>
              <w:rPr>
                <w:rFonts w:ascii="Arial" w:cs="Arial" w:eastAsia="Arial" w:hAnsi="Arial"/>
                <w:sz w:val="14"/>
                <w:szCs w:val="14"/>
                <w:color w:val="auto"/>
              </w:rPr>
              <w:t>8.75</w:t>
            </w:r>
          </w:p>
        </w:tc>
        <w:tc>
          <w:tcPr>
            <w:tcW w:w="500" w:type="dxa"/>
            <w:vAlign w:val="bottom"/>
          </w:tcPr>
          <w:p>
            <w:pPr>
              <w:ind w:left="40"/>
              <w:spacing w:after="0"/>
              <w:rPr>
                <w:sz w:val="20"/>
                <w:szCs w:val="20"/>
                <w:color w:val="auto"/>
              </w:rPr>
            </w:pPr>
            <w:r>
              <w:rPr>
                <w:rFonts w:ascii="Arial" w:cs="Arial" w:eastAsia="Arial" w:hAnsi="Arial"/>
                <w:sz w:val="14"/>
                <w:szCs w:val="14"/>
                <w:color w:val="auto"/>
              </w:rPr>
              <w:t>– 9.34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7.75</w:t>
            </w:r>
          </w:p>
        </w:tc>
        <w:tc>
          <w:tcPr>
            <w:tcW w:w="500" w:type="dxa"/>
            <w:vAlign w:val="bottom"/>
          </w:tcPr>
          <w:p>
            <w:pPr>
              <w:ind w:left="40"/>
              <w:spacing w:after="0"/>
              <w:rPr>
                <w:sz w:val="20"/>
                <w:szCs w:val="20"/>
                <w:color w:val="auto"/>
              </w:rPr>
            </w:pPr>
            <w:r>
              <w:rPr>
                <w:rFonts w:ascii="Arial" w:cs="Arial" w:eastAsia="Arial" w:hAnsi="Arial"/>
                <w:sz w:val="14"/>
                <w:szCs w:val="14"/>
                <w:color w:val="auto"/>
              </w:rPr>
              <w:t>– 8.25</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6.80</w:t>
            </w:r>
          </w:p>
        </w:tc>
        <w:tc>
          <w:tcPr>
            <w:tcW w:w="500" w:type="dxa"/>
            <w:vAlign w:val="bottom"/>
          </w:tcPr>
          <w:p>
            <w:pPr>
              <w:ind w:left="40"/>
              <w:spacing w:after="0"/>
              <w:rPr>
                <w:sz w:val="20"/>
                <w:szCs w:val="20"/>
                <w:color w:val="auto"/>
              </w:rPr>
            </w:pPr>
            <w:r>
              <w:rPr>
                <w:rFonts w:ascii="Arial" w:cs="Arial" w:eastAsia="Arial" w:hAnsi="Arial"/>
                <w:sz w:val="14"/>
                <w:szCs w:val="14"/>
                <w:color w:val="auto"/>
              </w:rPr>
              <w:t>– 7.75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6.34</w:t>
            </w:r>
          </w:p>
        </w:tc>
        <w:tc>
          <w:tcPr>
            <w:tcW w:w="540" w:type="dxa"/>
            <w:vAlign w:val="bottom"/>
          </w:tcPr>
          <w:p>
            <w:pPr>
              <w:ind w:left="40"/>
              <w:spacing w:after="0"/>
              <w:rPr>
                <w:sz w:val="20"/>
                <w:szCs w:val="20"/>
                <w:color w:val="auto"/>
              </w:rPr>
            </w:pPr>
            <w:r>
              <w:rPr>
                <w:rFonts w:ascii="Arial" w:cs="Arial" w:eastAsia="Arial" w:hAnsi="Arial"/>
                <w:sz w:val="14"/>
                <w:szCs w:val="14"/>
                <w:color w:val="auto"/>
              </w:rPr>
              <w:t>– 6.35</w:t>
            </w:r>
          </w:p>
        </w:tc>
      </w:tr>
    </w:tbl>
    <w:p>
      <w:pPr>
        <w:spacing w:after="0" w:line="13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fair value of share options was determined using the binomial option valuation model, with the assistance from an independent third-party valuation firm. The binomial model requires the input of highly subjective assumptions, including the expected share price volatility and exercise multiple. The risk-free rate for periods within the contractual lives of the options is based on the market yield of U.S. Treasury Bonds in effect at the time of grant. For expected volatilities, we have referred to historical volatilities of several comparable companies. Expected dividend yield is zero since we have never paid, and do not expect to pay cash dividends in the foreseeable future. We considered the statistics on exercise patterns of employees compiled by Huddart and Lang in Huddart, S., and M. Lang. 1996. “Employee Stock Option Exercises: An Empirical Analysis.” Journal of Accounting and Economics, vol. 21, no. 1 (February):5-43, which are widely adopted by valuers as authoritative guidance on expected exercise multiples.</w:t>
      </w:r>
    </w:p>
    <w:p>
      <w:pPr>
        <w:spacing w:after="0" w:line="6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estimated fair values of the ordinary shares, at the option grant dates, were determined with the assistance from an independent third-party valuation firm. Our management is ultimately responsible for the determination of the estimated fair value of its ordinary shares.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2" w:name="page153"/>
    <w:bookmarkEnd w:id="15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Fair value of ordinary shares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Prior to our initial public offering, we were a private company with no quoted market prices for our ordinary shares. We therefore needed to make estimates of financial forecast at various dates for the purpose of determining the fair value of our ordinary shares at the date of the grant of share-based compensation awards to our employees as one of the inputs into determining the grant date fair value of the option.</w:t>
      </w:r>
    </w:p>
    <w:p>
      <w:pPr>
        <w:spacing w:after="0" w:line="7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sets forth the fair value of our ordinary shares estimated at various dates with the assistance from an independent valuation firm.</w:t>
      </w:r>
    </w:p>
    <w:p>
      <w:pPr>
        <w:spacing w:after="0" w:line="89"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rPr>
              <w:t>Discount for Lack of</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25"/>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34"/>
              <w:spacing w:after="0" w:line="125" w:lineRule="exact"/>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0"/>
                <w:szCs w:val="10"/>
                <w:color w:val="auto"/>
              </w:rPr>
            </w:pPr>
          </w:p>
        </w:tc>
        <w:tc>
          <w:tcPr>
            <w:tcW w:w="12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Marketability</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60"/>
        </w:trPr>
        <w:tc>
          <w:tcPr>
            <w:tcW w:w="2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Date of Valuation</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Per Share</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(“DLOM”)</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Discount Rate</w:t>
            </w:r>
          </w:p>
        </w:tc>
      </w:tr>
      <w:tr>
        <w:trPr>
          <w:trHeight w:val="204"/>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May 31, 2023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09"/>
        </w:trPr>
        <w:tc>
          <w:tcPr>
            <w:tcW w:w="2840" w:type="dxa"/>
            <w:vAlign w:val="bottom"/>
          </w:tcPr>
          <w:p>
            <w:pPr>
              <w:spacing w:after="0"/>
              <w:rPr>
                <w:sz w:val="20"/>
                <w:szCs w:val="20"/>
                <w:color w:val="auto"/>
              </w:rPr>
            </w:pPr>
            <w:r>
              <w:rPr>
                <w:rFonts w:ascii="Arial" w:cs="Arial" w:eastAsia="Arial" w:hAnsi="Arial"/>
                <w:sz w:val="14"/>
                <w:szCs w:val="14"/>
                <w:color w:val="auto"/>
              </w:rPr>
              <w:t>July 31, 2023</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0.62</w:t>
            </w:r>
          </w:p>
        </w:tc>
        <w:tc>
          <w:tcPr>
            <w:tcW w:w="1280" w:type="dxa"/>
            <w:vAlign w:val="bottom"/>
            <w:gridSpan w:val="2"/>
          </w:tcPr>
          <w:p>
            <w:pPr>
              <w:jc w:val="right"/>
              <w:ind w:right="5"/>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8"/>
                <w:szCs w:val="18"/>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color w:val="auto"/>
              </w:rPr>
              <w:t>N/A</w:t>
            </w:r>
          </w:p>
        </w:tc>
      </w:tr>
      <w:tr>
        <w:trPr>
          <w:trHeight w:val="227"/>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09"/>
        </w:trPr>
        <w:tc>
          <w:tcPr>
            <w:tcW w:w="2840" w:type="dxa"/>
            <w:vAlign w:val="bottom"/>
          </w:tcPr>
          <w:p>
            <w:pPr>
              <w:spacing w:after="0"/>
              <w:rPr>
                <w:sz w:val="20"/>
                <w:szCs w:val="20"/>
                <w:color w:val="auto"/>
              </w:rPr>
            </w:pPr>
            <w:r>
              <w:rPr>
                <w:rFonts w:ascii="Arial" w:cs="Arial" w:eastAsia="Arial" w:hAnsi="Arial"/>
                <w:sz w:val="14"/>
                <w:szCs w:val="14"/>
                <w:color w:val="auto"/>
              </w:rPr>
              <w:t>June 30, 2024</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0.64</w:t>
            </w:r>
          </w:p>
        </w:tc>
        <w:tc>
          <w:tcPr>
            <w:tcW w:w="1280" w:type="dxa"/>
            <w:vAlign w:val="bottom"/>
            <w:gridSpan w:val="2"/>
          </w:tcPr>
          <w:p>
            <w:pPr>
              <w:jc w:val="right"/>
              <w:ind w:right="5"/>
              <w:spacing w:after="0"/>
              <w:rPr>
                <w:sz w:val="20"/>
                <w:szCs w:val="20"/>
                <w:color w:val="auto"/>
              </w:rPr>
            </w:pPr>
            <w:r>
              <w:rPr>
                <w:rFonts w:ascii="Arial" w:cs="Arial" w:eastAsia="Arial" w:hAnsi="Arial"/>
                <w:sz w:val="14"/>
                <w:szCs w:val="14"/>
                <w:color w:val="auto"/>
              </w:rPr>
              <w:t>6.7%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15.0%</w:t>
            </w:r>
          </w:p>
        </w:tc>
      </w:tr>
      <w:tr>
        <w:trPr>
          <w:trHeight w:val="227"/>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09"/>
        </w:trPr>
        <w:tc>
          <w:tcPr>
            <w:tcW w:w="2840" w:type="dxa"/>
            <w:vAlign w:val="bottom"/>
          </w:tcPr>
          <w:p>
            <w:pPr>
              <w:spacing w:after="0"/>
              <w:rPr>
                <w:sz w:val="20"/>
                <w:szCs w:val="20"/>
                <w:color w:val="auto"/>
              </w:rPr>
            </w:pPr>
            <w:r>
              <w:rPr>
                <w:rFonts w:ascii="Arial" w:cs="Arial" w:eastAsia="Arial" w:hAnsi="Arial"/>
                <w:sz w:val="14"/>
                <w:szCs w:val="14"/>
                <w:color w:val="auto"/>
              </w:rPr>
              <w:t>June 30, 2025</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0.54</w:t>
            </w:r>
          </w:p>
        </w:tc>
        <w:tc>
          <w:tcPr>
            <w:tcW w:w="1280" w:type="dxa"/>
            <w:vAlign w:val="bottom"/>
            <w:gridSpan w:val="2"/>
          </w:tcPr>
          <w:p>
            <w:pPr>
              <w:jc w:val="right"/>
              <w:ind w:right="5"/>
              <w:spacing w:after="0"/>
              <w:rPr>
                <w:sz w:val="20"/>
                <w:szCs w:val="20"/>
                <w:color w:val="auto"/>
              </w:rPr>
            </w:pPr>
            <w:r>
              <w:rPr>
                <w:rFonts w:ascii="Arial" w:cs="Arial" w:eastAsia="Arial" w:hAnsi="Arial"/>
                <w:sz w:val="14"/>
                <w:szCs w:val="14"/>
                <w:color w:val="auto"/>
              </w:rPr>
              <w:t>6.5%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14.0%</w:t>
            </w:r>
          </w:p>
        </w:tc>
      </w:tr>
      <w:tr>
        <w:trPr>
          <w:trHeight w:val="227"/>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00"/>
        </w:trPr>
        <w:tc>
          <w:tcPr>
            <w:tcW w:w="2840" w:type="dxa"/>
            <w:vAlign w:val="bottom"/>
          </w:tcPr>
          <w:p>
            <w:pPr>
              <w:spacing w:after="0"/>
              <w:rPr>
                <w:sz w:val="20"/>
                <w:szCs w:val="20"/>
                <w:color w:val="auto"/>
              </w:rPr>
            </w:pPr>
            <w:r>
              <w:rPr>
                <w:rFonts w:ascii="Arial" w:cs="Arial" w:eastAsia="Arial" w:hAnsi="Arial"/>
                <w:sz w:val="14"/>
                <w:szCs w:val="14"/>
                <w:color w:val="auto"/>
              </w:rPr>
              <w:t>May 31, 2026</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0.67</w:t>
            </w:r>
          </w:p>
        </w:tc>
        <w:tc>
          <w:tcPr>
            <w:tcW w:w="1280" w:type="dxa"/>
            <w:vAlign w:val="bottom"/>
            <w:gridSpan w:val="2"/>
          </w:tcPr>
          <w:p>
            <w:pPr>
              <w:jc w:val="right"/>
              <w:ind w:right="5"/>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color w:val="auto"/>
              </w:rPr>
              <w:t>N/A</w:t>
            </w:r>
          </w:p>
        </w:tc>
      </w:tr>
    </w:tbl>
    <w:p>
      <w:pPr>
        <w:spacing w:after="0" w:line="14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valuations of our ordinary shares were performed using methodologies, approaches and assumptions consistent with the American Institute of Certified Public Accountants Audit and Accounting Practice Aid Series: Valuation of Privately-Held-Company Equity Securities Issued as Compensation, or the AICPA Practice Guide. In addition, our management considered various objective and subjective factors, along with input from management and the independent third-party valuation firm, to determine the fair value of our ordinary shares, including:</w:t>
      </w:r>
    </w:p>
    <w:p>
      <w:pPr>
        <w:spacing w:after="0" w:line="55" w:lineRule="exact"/>
        <w:rPr>
          <w:sz w:val="20"/>
          <w:szCs w:val="20"/>
          <w:color w:val="auto"/>
        </w:rPr>
      </w:pPr>
    </w:p>
    <w:p>
      <w:pPr>
        <w:ind w:left="1800" w:right="1398" w:hanging="136"/>
        <w:spacing w:after="0" w:line="271" w:lineRule="auto"/>
        <w:tabs>
          <w:tab w:leader="none" w:pos="1804" w:val="left"/>
        </w:tabs>
        <w:numPr>
          <w:ilvl w:val="0"/>
          <w:numId w:val="63"/>
        </w:numPr>
        <w:rPr>
          <w:rFonts w:ascii="Arial" w:cs="Arial" w:eastAsia="Arial" w:hAnsi="Arial"/>
          <w:sz w:val="11"/>
          <w:szCs w:val="11"/>
          <w:color w:val="auto"/>
        </w:rPr>
      </w:pPr>
      <w:r>
        <w:rPr>
          <w:rFonts w:ascii="Arial" w:cs="Arial" w:eastAsia="Arial" w:hAnsi="Arial"/>
          <w:sz w:val="14"/>
          <w:szCs w:val="14"/>
          <w:color w:val="auto"/>
        </w:rPr>
        <w:t>external market conditions affecting China’s auto commerce industry and trends within the industry;</w:t>
      </w:r>
    </w:p>
    <w:p>
      <w:pPr>
        <w:spacing w:after="0" w:line="30" w:lineRule="exact"/>
        <w:rPr>
          <w:rFonts w:ascii="Arial" w:cs="Arial" w:eastAsia="Arial" w:hAnsi="Arial"/>
          <w:sz w:val="11"/>
          <w:szCs w:val="11"/>
          <w:color w:val="auto"/>
        </w:rPr>
      </w:pPr>
    </w:p>
    <w:p>
      <w:pPr>
        <w:ind w:left="1800" w:hanging="136"/>
        <w:spacing w:after="0"/>
        <w:tabs>
          <w:tab w:leader="none" w:pos="180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results of operations, financials position, our stage of development and business strategy;</w:t>
      </w:r>
    </w:p>
    <w:p>
      <w:pPr>
        <w:spacing w:after="0" w:line="77" w:lineRule="exact"/>
        <w:rPr>
          <w:rFonts w:ascii="Arial" w:cs="Arial" w:eastAsia="Arial" w:hAnsi="Arial"/>
          <w:sz w:val="11"/>
          <w:szCs w:val="11"/>
          <w:color w:val="auto"/>
        </w:rPr>
      </w:pPr>
    </w:p>
    <w:p>
      <w:pPr>
        <w:ind w:left="1800" w:hanging="136"/>
        <w:spacing w:after="0"/>
        <w:tabs>
          <w:tab w:leader="none" w:pos="180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prices at which we sold preferred shares;</w:t>
      </w:r>
    </w:p>
    <w:p>
      <w:pPr>
        <w:spacing w:after="0" w:line="77"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superior rights and preference of the preferred shares or other senior securities relative to our ordinary shares at the time of each grant;</w:t>
      </w:r>
    </w:p>
    <w:p>
      <w:pPr>
        <w:spacing w:after="0" w:line="30" w:lineRule="exact"/>
        <w:rPr>
          <w:rFonts w:ascii="Arial" w:cs="Arial" w:eastAsia="Arial" w:hAnsi="Arial"/>
          <w:sz w:val="11"/>
          <w:szCs w:val="11"/>
          <w:color w:val="auto"/>
        </w:rPr>
      </w:pPr>
    </w:p>
    <w:p>
      <w:pPr>
        <w:ind w:left="1800" w:hanging="136"/>
        <w:spacing w:after="0"/>
        <w:tabs>
          <w:tab w:leader="none" w:pos="180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lack of an active public market for our ordinary shares;</w:t>
      </w:r>
    </w:p>
    <w:p>
      <w:pPr>
        <w:spacing w:after="0" w:line="77" w:lineRule="exact"/>
        <w:rPr>
          <w:rFonts w:ascii="Arial" w:cs="Arial" w:eastAsia="Arial" w:hAnsi="Arial"/>
          <w:sz w:val="11"/>
          <w:szCs w:val="11"/>
          <w:color w:val="auto"/>
        </w:rPr>
      </w:pPr>
    </w:p>
    <w:p>
      <w:pPr>
        <w:ind w:left="1800" w:hanging="136"/>
        <w:spacing w:after="0"/>
        <w:tabs>
          <w:tab w:leader="none" w:pos="180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likelihood of achieving a liquidity event or an initial public offering.</w:t>
      </w:r>
    </w:p>
    <w:p>
      <w:pPr>
        <w:spacing w:after="0" w:line="8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order to determine the fair value of our ordinary shares underlying each share-based award grant, we first determined our total business enterprise value, or BEV, and then allocated the BEV to each element of our capital structure (redeemable convertible preferred shares and ordinary shares) using the allocation method. For the valuation dates where there were recent equity financing transactions with independent third parties, we estimate the value of our total business enterprise value, or BEV, by back-solve method, which is a market approach to solve our implied BEV by considering the rights and preferences of each class of equities based on the consideration of the recent equity transaction. For the valuation dates where there were no recent equity financing transactions, we estimated our BEV using an income approach, specifically a discounted cash flow analysis (or DCF) based on our projected cash flows using management’s best estimates as of the valuation dates. The income approach involves applying appropriate discount rates to estimated cash flows that are based on earnings forecasts. However, these fair values are inherently uncertain and highly subjective.</w:t>
      </w:r>
    </w:p>
    <w:p>
      <w:pPr>
        <w:spacing w:after="0" w:line="6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allocation of the BEV to each element of our capital structure, three scenarios were assumed, namely: (i) the liquidation scenario, in which the option pricing method was adopted to allocate the value between redeemable convertible preferred shares and ordinary shares, and (ii) the redemption</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3" w:name="page154"/>
    <w:bookmarkEnd w:id="15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scenario, in which the option pricing method was adopted to allocate the value among the redeemable convertible preferred shares and ordinary shares, and (iii) the mandatory conversion scenario, in which equity value was allocated to redeemable convertible preferred shares and ordinary shares on an as-if converted basis.</w:t>
      </w:r>
    </w:p>
    <w:p>
      <w:pPr>
        <w:spacing w:after="0" w:line="7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anticipated timing of each scenario is based on the plans of our board and management. The other major assumptions used in calculating the fair value of ordinary shares include:</w:t>
      </w:r>
    </w:p>
    <w:p>
      <w:pPr>
        <w:spacing w:after="0" w:line="51" w:lineRule="exact"/>
        <w:rPr>
          <w:sz w:val="20"/>
          <w:szCs w:val="20"/>
          <w:color w:val="auto"/>
        </w:rPr>
      </w:pPr>
    </w:p>
    <w:p>
      <w:pPr>
        <w:jc w:val="both"/>
        <w:ind w:left="1800" w:right="1398" w:hanging="136"/>
        <w:spacing w:after="0" w:line="251" w:lineRule="auto"/>
        <w:tabs>
          <w:tab w:leader="none" w:pos="1804" w:val="left"/>
        </w:tabs>
        <w:numPr>
          <w:ilvl w:val="0"/>
          <w:numId w:val="64"/>
        </w:numPr>
        <w:rPr>
          <w:rFonts w:ascii="Arial" w:cs="Arial" w:eastAsia="Arial" w:hAnsi="Arial"/>
          <w:sz w:val="11"/>
          <w:szCs w:val="11"/>
          <w:color w:val="auto"/>
        </w:rPr>
      </w:pPr>
      <w:r>
        <w:rPr>
          <w:rFonts w:ascii="Arial" w:cs="Arial" w:eastAsia="Arial" w:hAnsi="Arial"/>
          <w:sz w:val="14"/>
          <w:szCs w:val="14"/>
          <w:color w:val="auto"/>
        </w:rPr>
        <w:t>Weighted average cost of capital, or WACC: The WACCs were determined in consideration of factors including risk-free rate, comparative industry risk, equity risk premium, company size and non-systematic risk factors.</w:t>
      </w:r>
    </w:p>
    <w:p>
      <w:pPr>
        <w:spacing w:after="0" w:line="7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64"/>
        </w:numPr>
        <w:rPr>
          <w:rFonts w:ascii="Arial" w:cs="Arial" w:eastAsia="Arial" w:hAnsi="Arial"/>
          <w:sz w:val="11"/>
          <w:szCs w:val="11"/>
          <w:color w:val="auto"/>
        </w:rPr>
      </w:pPr>
      <w:r>
        <w:rPr>
          <w:rFonts w:ascii="Arial" w:cs="Arial" w:eastAsia="Arial" w:hAnsi="Arial"/>
          <w:sz w:val="14"/>
          <w:szCs w:val="14"/>
          <w:color w:val="auto"/>
        </w:rPr>
        <w:t>Comparable companies: In deriving the WACCs, which are used as the discount rates under the income approach, certain publicly traded companies in the internet industry were selected for reference as our guideline companies.</w:t>
      </w:r>
    </w:p>
    <w:p>
      <w:pPr>
        <w:spacing w:after="0" w:line="75" w:lineRule="exact"/>
        <w:rPr>
          <w:rFonts w:ascii="Arial" w:cs="Arial" w:eastAsia="Arial" w:hAnsi="Arial"/>
          <w:sz w:val="11"/>
          <w:szCs w:val="11"/>
          <w:color w:val="auto"/>
        </w:rPr>
      </w:pPr>
    </w:p>
    <w:p>
      <w:pPr>
        <w:jc w:val="both"/>
        <w:ind w:left="1800" w:right="1398" w:hanging="136"/>
        <w:spacing w:after="0" w:line="237" w:lineRule="auto"/>
        <w:tabs>
          <w:tab w:leader="none" w:pos="1804" w:val="left"/>
        </w:tabs>
        <w:numPr>
          <w:ilvl w:val="0"/>
          <w:numId w:val="64"/>
        </w:numPr>
        <w:rPr>
          <w:rFonts w:ascii="Arial" w:cs="Arial" w:eastAsia="Arial" w:hAnsi="Arial"/>
          <w:sz w:val="11"/>
          <w:szCs w:val="11"/>
          <w:color w:val="auto"/>
        </w:rPr>
      </w:pPr>
      <w:r>
        <w:rPr>
          <w:rFonts w:ascii="Arial" w:cs="Arial" w:eastAsia="Arial" w:hAnsi="Arial"/>
          <w:sz w:val="14"/>
          <w:szCs w:val="14"/>
          <w:color w:val="auto"/>
        </w:rPr>
        <w:t>Discount for lack of marketability, or DLOM: DLOM was quantified by the Finnerty model. Under the Finnerty method, which assumed that the put option is struck at the price of the stock before the privately held shares can be sold, the cost of the put option was considered as a basis to determine the DLOM. This option pricing method is one of the methods commonly used in estimating DLOM as it can take into consideration factors such as timing of a liquidity event, for instance an initial public offering, and estimated volatility of our shares. The farther the valuation date is from an expected liquidity event, the higher the put option value is and thus the higher the implied DLOM is. The lower DLOM is used for the valuation, the higher the determined fair value of the ordinary shares becomes.</w:t>
      </w:r>
    </w:p>
    <w:p>
      <w:pPr>
        <w:spacing w:after="0" w:line="7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determination of the equity value requires complex and subjective judgments to be made regarding prospects of the industry and the products at the valuation date, our projected financial and operating results, our unique business risks and the liquidity of our shares.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fair value of our ordinary shares was US$0.57, US$0.62, US$0.64, US$ 0.64, US$0.54, US$0.54, US$0.58, and US$0.67 as of May 31, 2023, July 31, 2023, December 31, 2023, June 30, 2024, December 31, 2024, June 30, 2025, December 31, 2025 and May 31, 2026, respectively. The changes in fair value of our ordinary shares are due to the following reasons.</w:t>
      </w:r>
    </w:p>
    <w:p>
      <w:pPr>
        <w:spacing w:after="0" w:line="90" w:lineRule="exact"/>
        <w:rPr>
          <w:sz w:val="20"/>
          <w:szCs w:val="20"/>
          <w:color w:val="auto"/>
        </w:rPr>
      </w:pPr>
    </w:p>
    <w:p>
      <w:pPr>
        <w:jc w:val="both"/>
        <w:ind w:left="1800" w:right="1398" w:hanging="136"/>
        <w:spacing w:after="0" w:line="239" w:lineRule="auto"/>
        <w:tabs>
          <w:tab w:leader="none" w:pos="1804" w:val="left"/>
        </w:tabs>
        <w:numPr>
          <w:ilvl w:val="0"/>
          <w:numId w:val="65"/>
        </w:numPr>
        <w:rPr>
          <w:rFonts w:ascii="Arial" w:cs="Arial" w:eastAsia="Arial" w:hAnsi="Arial"/>
          <w:sz w:val="11"/>
          <w:szCs w:val="11"/>
          <w:color w:val="auto"/>
        </w:rPr>
      </w:pPr>
      <w:r>
        <w:rPr>
          <w:rFonts w:ascii="Arial" w:cs="Arial" w:eastAsia="Arial" w:hAnsi="Arial"/>
          <w:sz w:val="14"/>
          <w:szCs w:val="14"/>
          <w:i w:val="1"/>
          <w:iCs w:val="1"/>
          <w:color w:val="auto"/>
        </w:rPr>
        <w:t xml:space="preserve">Changes in Our Business. </w:t>
      </w:r>
      <w:r>
        <w:rPr>
          <w:rFonts w:ascii="Arial" w:cs="Arial" w:eastAsia="Arial" w:hAnsi="Arial"/>
          <w:sz w:val="14"/>
          <w:szCs w:val="14"/>
          <w:color w:val="auto"/>
        </w:rPr>
        <w:t>Our total revenues increased by 4.3% from RMB909.0 million in</w:t>
      </w:r>
      <w:r>
        <w:rPr>
          <w:rFonts w:ascii="Arial" w:cs="Arial" w:eastAsia="Arial" w:hAnsi="Arial"/>
          <w:sz w:val="14"/>
          <w:szCs w:val="14"/>
          <w:i w:val="1"/>
          <w:iCs w:val="1"/>
          <w:color w:val="auto"/>
        </w:rPr>
        <w:t xml:space="preserve"> </w:t>
      </w:r>
      <w:r>
        <w:rPr>
          <w:rFonts w:ascii="Arial" w:cs="Arial" w:eastAsia="Arial" w:hAnsi="Arial"/>
          <w:sz w:val="14"/>
          <w:szCs w:val="14"/>
          <w:color w:val="auto"/>
        </w:rPr>
        <w:t>2023 to RMB948.2 million in 2024. It then decreased by 28.6% to RMB677.1 million (US$96.8 million) in 2025, primarily attributable to the Disposition in 2024. For details, see “Results of Operations — Year Ended December 31, 2025 Compared to Year Ended December 31, 2024,” and “— Year Ended December 31, 2024 Compared to Year Ended December 31, 2023 — Revenues.”</w:t>
      </w:r>
    </w:p>
    <w:p>
      <w:pPr>
        <w:spacing w:after="0" w:line="96" w:lineRule="exact"/>
        <w:rPr>
          <w:rFonts w:ascii="Arial" w:cs="Arial" w:eastAsia="Arial" w:hAnsi="Arial"/>
          <w:sz w:val="11"/>
          <w:szCs w:val="11"/>
          <w:color w:val="auto"/>
        </w:rPr>
      </w:pPr>
    </w:p>
    <w:p>
      <w:pPr>
        <w:jc w:val="both"/>
        <w:ind w:left="1800" w:right="1398" w:hanging="136"/>
        <w:spacing w:after="0" w:line="237" w:lineRule="auto"/>
        <w:tabs>
          <w:tab w:leader="none" w:pos="1804" w:val="left"/>
        </w:tabs>
        <w:numPr>
          <w:ilvl w:val="0"/>
          <w:numId w:val="65"/>
        </w:numPr>
        <w:rPr>
          <w:rFonts w:ascii="Arial" w:cs="Arial" w:eastAsia="Arial" w:hAnsi="Arial"/>
          <w:sz w:val="11"/>
          <w:szCs w:val="11"/>
          <w:color w:val="auto"/>
        </w:rPr>
      </w:pPr>
      <w:r>
        <w:rPr>
          <w:rFonts w:ascii="Arial" w:cs="Arial" w:eastAsia="Arial" w:hAnsi="Arial"/>
          <w:sz w:val="14"/>
          <w:szCs w:val="14"/>
          <w:i w:val="1"/>
          <w:iCs w:val="1"/>
          <w:color w:val="auto"/>
        </w:rPr>
        <w:t xml:space="preserve">Improvements in Financial Performance. </w:t>
      </w:r>
      <w:r>
        <w:rPr>
          <w:rFonts w:ascii="Arial" w:cs="Arial" w:eastAsia="Arial" w:hAnsi="Arial"/>
          <w:sz w:val="14"/>
          <w:szCs w:val="14"/>
          <w:color w:val="auto"/>
        </w:rPr>
        <w:t>Our gross margin decreased slightly from 33.6% in</w:t>
      </w:r>
      <w:r>
        <w:rPr>
          <w:rFonts w:ascii="Arial" w:cs="Arial" w:eastAsia="Arial" w:hAnsi="Arial"/>
          <w:sz w:val="14"/>
          <w:szCs w:val="14"/>
          <w:i w:val="1"/>
          <w:iCs w:val="1"/>
          <w:color w:val="auto"/>
        </w:rPr>
        <w:t xml:space="preserve"> </w:t>
      </w:r>
      <w:r>
        <w:rPr>
          <w:rFonts w:ascii="Arial" w:cs="Arial" w:eastAsia="Arial" w:hAnsi="Arial"/>
          <w:sz w:val="14"/>
          <w:szCs w:val="14"/>
          <w:color w:val="auto"/>
        </w:rPr>
        <w:t>2023 to 30.7% in 2024, due to the growth of single car delivery services as well as financial product referral services which generally yield relatively lower gross profit margins. Our gross margin increased to 38.5% in 2025, primarily attributable to the Disposition. Furthermore, our net loss decreased by 15.8% from RMB186.6 million in 2023 to RMB157.1 million in 2024, and further decreased to RMB94.6 million (US$13.5 million) in 2025. For details, see “Results of Operations — Year Ended December 31, 2025 Compared to Year Ended December 31, 2024,” and “— Year Ended December 31, 2024 Compared to Year December 31, 2023.”</w:t>
      </w:r>
    </w:p>
    <w:p>
      <w:pPr>
        <w:spacing w:after="0" w:line="97" w:lineRule="exact"/>
        <w:rPr>
          <w:rFonts w:ascii="Arial" w:cs="Arial" w:eastAsia="Arial" w:hAnsi="Arial"/>
          <w:sz w:val="11"/>
          <w:szCs w:val="11"/>
          <w:color w:val="auto"/>
        </w:rPr>
      </w:pPr>
    </w:p>
    <w:p>
      <w:pPr>
        <w:jc w:val="both"/>
        <w:ind w:left="1800" w:right="1398" w:hanging="136"/>
        <w:spacing w:after="0" w:line="245" w:lineRule="auto"/>
        <w:tabs>
          <w:tab w:leader="none" w:pos="1783" w:val="left"/>
        </w:tabs>
        <w:numPr>
          <w:ilvl w:val="0"/>
          <w:numId w:val="65"/>
        </w:numPr>
        <w:rPr>
          <w:rFonts w:ascii="Arial" w:cs="Arial" w:eastAsia="Arial" w:hAnsi="Arial"/>
          <w:sz w:val="11"/>
          <w:szCs w:val="11"/>
          <w:i w:val="1"/>
          <w:iCs w:val="1"/>
          <w:color w:val="auto"/>
        </w:rPr>
      </w:pPr>
      <w:r>
        <w:rPr>
          <w:rFonts w:ascii="Arial" w:cs="Arial" w:eastAsia="Arial" w:hAnsi="Arial"/>
          <w:sz w:val="14"/>
          <w:szCs w:val="14"/>
          <w:i w:val="1"/>
          <w:iCs w:val="1"/>
          <w:color w:val="auto"/>
        </w:rPr>
        <w:t xml:space="preserve">Changing DLOM. </w:t>
      </w:r>
      <w:r>
        <w:rPr>
          <w:rFonts w:ascii="Arial" w:cs="Arial" w:eastAsia="Arial" w:hAnsi="Arial"/>
          <w:sz w:val="14"/>
          <w:szCs w:val="14"/>
          <w:color w:val="auto"/>
        </w:rPr>
        <w:t>The DLOM decreased from 12.0% as of December 31, 2023 to 5.3% as of</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2024. DLOM subsequently increased to 8.2% as of December 31, 2025. These movements of DLOM were principally attributable to changes in the expected timing of liquidity events, reflecting evolving CSRC requirements for overseas offerings and listings.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4" w:name="page155"/>
    <w:bookmarkEnd w:id="15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19" w:lineRule="exact"/>
        <w:rPr>
          <w:sz w:val="20"/>
          <w:szCs w:val="20"/>
          <w:color w:val="auto"/>
        </w:rPr>
      </w:pPr>
    </w:p>
    <w:p>
      <w:pPr>
        <w:jc w:val="both"/>
        <w:ind w:left="1800" w:right="1398" w:hanging="136"/>
        <w:spacing w:after="0" w:line="251" w:lineRule="auto"/>
        <w:tabs>
          <w:tab w:leader="none" w:pos="1783" w:val="left"/>
        </w:tabs>
        <w:numPr>
          <w:ilvl w:val="0"/>
          <w:numId w:val="66"/>
        </w:numPr>
        <w:rPr>
          <w:rFonts w:ascii="Arial" w:cs="Arial" w:eastAsia="Arial" w:hAnsi="Arial"/>
          <w:sz w:val="11"/>
          <w:szCs w:val="11"/>
          <w:i w:val="1"/>
          <w:iCs w:val="1"/>
          <w:color w:val="auto"/>
        </w:rPr>
      </w:pPr>
      <w:r>
        <w:rPr>
          <w:rFonts w:ascii="Arial" w:cs="Arial" w:eastAsia="Arial" w:hAnsi="Arial"/>
          <w:sz w:val="14"/>
          <w:szCs w:val="14"/>
          <w:i w:val="1"/>
          <w:iCs w:val="1"/>
          <w:color w:val="auto"/>
        </w:rPr>
        <w:t>Prospect of IPO.</w:t>
      </w:r>
      <w:r>
        <w:rPr>
          <w:rFonts w:ascii="Arial" w:cs="Arial" w:eastAsia="Arial" w:hAnsi="Arial"/>
          <w:sz w:val="14"/>
          <w:szCs w:val="14"/>
          <w:color w:val="auto"/>
        </w:rPr>
        <w:t>The preferred shares issued by us are expected to be converted into ordinary shares upon the completion of this offering. The portion of our business enterprise value allocated to ordinary shares increases as this offering becomes more likely.</w:t>
      </w:r>
    </w:p>
    <w:p>
      <w:pPr>
        <w:spacing w:after="0" w:line="6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details of share-based compensation awards granted in fiscal 2026 through May 31, 2026 are as follows:</w:t>
      </w:r>
    </w:p>
    <w:p>
      <w:pPr>
        <w:spacing w:after="0" w:line="99"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145"/>
              <w:spacing w:after="0"/>
              <w:rPr>
                <w:sz w:val="20"/>
                <w:szCs w:val="20"/>
                <w:color w:val="auto"/>
              </w:rPr>
            </w:pPr>
            <w:r>
              <w:rPr>
                <w:rFonts w:ascii="Arial" w:cs="Arial" w:eastAsia="Arial" w:hAnsi="Arial"/>
                <w:sz w:val="11"/>
                <w:szCs w:val="11"/>
                <w:b w:val="1"/>
                <w:bCs w:val="1"/>
                <w:color w:val="auto"/>
              </w:rPr>
              <w:t>Number of</w:t>
            </w:r>
          </w:p>
        </w:tc>
      </w:tr>
      <w:tr>
        <w:trPr>
          <w:trHeight w:val="160"/>
        </w:trPr>
        <w:tc>
          <w:tcPr>
            <w:tcW w:w="5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Grant Date</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Options</w:t>
            </w:r>
          </w:p>
        </w:tc>
      </w:tr>
      <w:tr>
        <w:trPr>
          <w:trHeight w:val="204"/>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March 25, 2026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r>
      <w:tr>
        <w:trPr>
          <w:trHeight w:val="209"/>
        </w:trPr>
        <w:tc>
          <w:tcPr>
            <w:tcW w:w="5180" w:type="dxa"/>
            <w:vAlign w:val="bottom"/>
          </w:tcPr>
          <w:p>
            <w:pPr>
              <w:spacing w:after="0"/>
              <w:rPr>
                <w:sz w:val="20"/>
                <w:szCs w:val="20"/>
                <w:color w:val="auto"/>
              </w:rPr>
            </w:pPr>
            <w:r>
              <w:rPr>
                <w:rFonts w:ascii="Arial" w:cs="Arial" w:eastAsia="Arial" w:hAnsi="Arial"/>
                <w:sz w:val="14"/>
                <w:szCs w:val="14"/>
                <w:color w:val="auto"/>
              </w:rPr>
              <w:t>April 21, 2026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475,461</w:t>
            </w:r>
          </w:p>
        </w:tc>
      </w:tr>
      <w:tr>
        <w:trPr>
          <w:trHeight w:val="227"/>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May 26, 2026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9,060,000</w:t>
            </w:r>
          </w:p>
        </w:tc>
      </w:tr>
      <w:tr>
        <w:trPr>
          <w:trHeight w:val="200"/>
        </w:trPr>
        <w:tc>
          <w:tcPr>
            <w:tcW w:w="5180" w:type="dxa"/>
            <w:vAlign w:val="bottom"/>
          </w:tcPr>
          <w:p>
            <w:pPr>
              <w:spacing w:after="0"/>
              <w:rPr>
                <w:sz w:val="20"/>
                <w:szCs w:val="20"/>
                <w:color w:val="auto"/>
              </w:rPr>
            </w:pPr>
            <w:r>
              <w:rPr>
                <w:rFonts w:ascii="Arial" w:cs="Arial" w:eastAsia="Arial" w:hAnsi="Arial"/>
                <w:sz w:val="14"/>
                <w:szCs w:val="14"/>
                <w:color w:val="auto"/>
              </w:rPr>
              <w:t>May 29, 2026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57,618</w:t>
            </w:r>
          </w:p>
        </w:tc>
      </w:tr>
    </w:tbl>
    <w:p>
      <w:pPr>
        <w:spacing w:after="0" w:line="13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fair value of the underlying ordinary share between December 31, 2025 and April 21, 2026 did not experience significant fluctuation because there were no material changes in the key valuation inputs including, among others, the market condition, industry trend, or our operating results. Additionally, we continued to assess uncertainties relating to the timing of the CSRC filing process during this period, which were reflected consistently in the valuation assumptions for awards granted on March 25, 2026 and April 21, 2026.</w:t>
      </w:r>
    </w:p>
    <w:p>
      <w:pPr>
        <w:spacing w:after="0" w:line="8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CSRC concluded the filing procedure and published the filing results on the CSRC website on April 24, 2026. This event represents a significant milestone that affected the probability of IPO and discount for lack of marketability used for estimating the fair value of underlying ordinary share for the awards granted on May 26, 2026 and May 29, 2026. The fair value of underlying ordinary shares adopted in the valuation of options granted on May 26, 2026 and May 29, 2026 increased from US$0.58 per share to US$0.67 per share, representing an increase of 16% over the period. The increase of fair value of the ordinary shares was mainly attributable to (i) the increase in probability of IPO used in valuation models from 45% for December 2025 to 50% for May 2026, and (ii) the decrease of discount for lack of marketability from 8% for December 2025 to 3% for May 2026. Subsequently, on May 14, 2026, the SEC approved a proposed rule change filed by Nasdaq adopting Rule 5210(l), which further improved the regulatory visibility for China-based issuers. This development was considered in our reassessment of the probability of IPO for awards granted in May 2026 and supported the overall estimate of 50%.</w:t>
      </w:r>
    </w:p>
    <w:p>
      <w:pPr>
        <w:spacing w:after="0" w:line="8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fair value of underlying ordinary shares further increased from US$ 0.67 per share on May 31, 2026 to US$0.85 per share on June 17, 2026. This increase is primarily due to (i) the anticipated launch of this offering in June 2026, which resulted in a reduction in the discount for lack of liquidity to reflect the expected establishment of a public trading market upon completion of the offering; and</w:t>
      </w:r>
    </w:p>
    <w:p>
      <w:pPr>
        <w:spacing w:after="0" w:line="2" w:lineRule="exact"/>
        <w:rPr>
          <w:sz w:val="20"/>
          <w:szCs w:val="20"/>
          <w:color w:val="auto"/>
        </w:rPr>
      </w:pPr>
    </w:p>
    <w:p>
      <w:pPr>
        <w:ind w:left="1420" w:right="1398" w:hanging="5"/>
        <w:spacing w:after="0" w:line="244" w:lineRule="auto"/>
        <w:tabs>
          <w:tab w:leader="none" w:pos="1633"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expectation that this offering will provide us with additional capital and improved access to capital markets, thereby supporting future business expansion and enhancing market visibility.</w:t>
      </w:r>
    </w:p>
    <w:p>
      <w:pPr>
        <w:spacing w:after="0" w:line="90"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9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Recent Accounting Announcements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 list of recently issued accounting pronouncements that are relevant to us is included in “Note 2 — Recent accounting pronouncements” of our combined and consolidated financial statements included elsewhere in this prospectus.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5" w:name="page156"/>
    <w:bookmarkEnd w:id="15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Results of Operations</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following table sets forth a summary of our combined and consolidated results of operations, both in absolute amount and as a percentage of total revenues for the years indicated. This information should be read together with our combined and consolidated financial statements and related notes included elsewhere in this prospectus. The following period-to-period comparison of operating results should not be relied upon as being indicative of our future performance.</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08"/>
        </w:trPr>
        <w:tc>
          <w:tcPr>
            <w:tcW w:w="204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1"/>
                <w:szCs w:val="11"/>
                <w:b w:val="1"/>
                <w:bCs w:val="1"/>
                <w:color w:val="auto"/>
              </w:rPr>
              <w:t>2025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4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62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US$</w:t>
            </w:r>
          </w:p>
        </w:tc>
        <w:tc>
          <w:tcPr>
            <w:tcW w:w="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r>
      <w:tr>
        <w:trPr>
          <w:trHeight w:val="208"/>
        </w:trPr>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8"/>
          </w:tcPr>
          <w:p>
            <w:pPr>
              <w:jc w:val="right"/>
              <w:ind w:right="140"/>
              <w:spacing w:after="0"/>
              <w:rPr>
                <w:sz w:val="20"/>
                <w:szCs w:val="20"/>
                <w:color w:val="auto"/>
              </w:rPr>
            </w:pPr>
            <w:r>
              <w:rPr>
                <w:rFonts w:ascii="Arial" w:cs="Arial" w:eastAsia="Arial" w:hAnsi="Arial"/>
                <w:sz w:val="11"/>
                <w:szCs w:val="11"/>
                <w:b w:val="1"/>
                <w:bCs w:val="1"/>
                <w:color w:val="auto"/>
              </w:rPr>
              <w:t>(in thousands except percentage)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4"/>
                <w:szCs w:val="14"/>
                <w:color w:val="auto"/>
              </w:rPr>
              <w:t>Digitalization solutions</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140,290</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92,976</w:t>
            </w:r>
          </w:p>
        </w:tc>
        <w:tc>
          <w:tcPr>
            <w:tcW w:w="34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74,519</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10,656</w:t>
            </w:r>
          </w:p>
        </w:tc>
        <w:tc>
          <w:tcPr>
            <w:tcW w:w="36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8"/>
                <w:szCs w:val="18"/>
                <w:color w:val="auto"/>
              </w:rPr>
            </w:pP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Transaction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768,754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855,251</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602,540</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86,162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909,044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948,227</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677,059</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96,818</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100.0</w:t>
            </w:r>
          </w:p>
        </w:tc>
        <w:tc>
          <w:tcPr>
            <w:tcW w:w="80" w:type="dxa"/>
            <w:vAlign w:val="bottom"/>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Cost of revenues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(603,327)</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(66.4)</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(657,526)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(69.3)</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(416,662)</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(59,582)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(61.5)</w:t>
            </w:r>
          </w:p>
        </w:tc>
      </w:tr>
      <w:tr>
        <w:trPr>
          <w:trHeight w:val="203"/>
        </w:trPr>
        <w:tc>
          <w:tcPr>
            <w:tcW w:w="204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Operating expenses:</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4"/>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Sales and marketing expenses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shd w:val="clear" w:color="auto" w:fill="CCEEFF"/>
              </w:rPr>
              <w:t>(265,179)</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shd w:val="clear" w:color="auto" w:fill="CCEEFF"/>
              </w:rPr>
              <w:t>(29.2)</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shd w:val="clear" w:color="auto" w:fill="CCEEFF"/>
              </w:rPr>
              <w:t>(277,584)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shd w:val="clear" w:color="auto" w:fill="CCEEFF"/>
              </w:rPr>
              <w:t>(29.3)</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shd w:val="clear" w:color="auto" w:fill="CCEEFF"/>
              </w:rPr>
              <w:t>(198,760)</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5"/>
                <w:shd w:val="clear" w:color="auto" w:fill="CCEEFF"/>
              </w:rPr>
              <w:t>(28,422)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shd w:val="clear" w:color="auto" w:fill="CCEEFF"/>
              </w:rPr>
              <w:t>(29.4)</w:t>
            </w:r>
          </w:p>
        </w:tc>
      </w:tr>
      <w:tr>
        <w:trPr>
          <w:trHeight w:val="137"/>
        </w:trPr>
        <w:tc>
          <w:tcPr>
            <w:tcW w:w="2040" w:type="dxa"/>
            <w:vAlign w:val="bottom"/>
          </w:tcPr>
          <w:p>
            <w:pPr>
              <w:spacing w:after="0" w:line="137" w:lineRule="exact"/>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7"/>
        </w:trPr>
        <w:tc>
          <w:tcPr>
            <w:tcW w:w="2040" w:type="dxa"/>
            <w:vAlign w:val="bottom"/>
          </w:tcPr>
          <w:p>
            <w:pPr>
              <w:ind w:left="140"/>
              <w:spacing w:after="0"/>
              <w:rPr>
                <w:sz w:val="20"/>
                <w:szCs w:val="20"/>
                <w:color w:val="auto"/>
              </w:rPr>
            </w:pPr>
            <w:r>
              <w:rPr>
                <w:rFonts w:ascii="Arial" w:cs="Arial" w:eastAsia="Arial" w:hAnsi="Arial"/>
                <w:sz w:val="14"/>
                <w:szCs w:val="14"/>
                <w:color w:val="auto"/>
              </w:rPr>
              <w:t>expenses</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(145,509)</w:t>
            </w:r>
          </w:p>
        </w:tc>
        <w:tc>
          <w:tcPr>
            <w:tcW w:w="80" w:type="dxa"/>
            <w:vAlign w:val="bottom"/>
          </w:tcPr>
          <w:p>
            <w:pPr>
              <w:spacing w:after="0"/>
              <w:rPr>
                <w:sz w:val="16"/>
                <w:szCs w:val="16"/>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(16.0)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(101,628)</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(10.7)</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(78,909)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(11,284)</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(11.6)</w:t>
            </w:r>
          </w:p>
        </w:tc>
      </w:tr>
      <w:tr>
        <w:trPr>
          <w:trHeight w:val="155"/>
        </w:trPr>
        <w:tc>
          <w:tcPr>
            <w:tcW w:w="20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Research and development</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1"/>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(85,600)</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w:t>
            </w:r>
          </w:p>
        </w:tc>
        <w:tc>
          <w:tcPr>
            <w:tcW w:w="120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(100,039)  (10.5)</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(84,662)</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(12,107)  (12.5)</w:t>
            </w:r>
          </w:p>
        </w:tc>
      </w:tr>
      <w:tr>
        <w:trPr>
          <w:trHeight w:val="20"/>
        </w:trPr>
        <w:tc>
          <w:tcPr>
            <w:tcW w:w="2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(496,288)</w:t>
            </w: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(54.6)</w:t>
            </w:r>
          </w:p>
        </w:tc>
        <w:tc>
          <w:tcPr>
            <w:tcW w:w="198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(479,251)  (50.5)  (362,331)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(51,813)</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(53.5)</w:t>
            </w: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9"/>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(190,571)</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(21.0)</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(188,550)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(19.9)</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(101,934)</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(14,577)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(15.1)</w:t>
            </w:r>
          </w:p>
        </w:tc>
      </w:tr>
      <w:tr>
        <w:trPr>
          <w:trHeight w:val="202"/>
        </w:trPr>
        <w:tc>
          <w:tcPr>
            <w:tcW w:w="2040" w:type="dxa"/>
            <w:vAlign w:val="bottom"/>
          </w:tcPr>
          <w:p>
            <w:pPr>
              <w:spacing w:after="0"/>
              <w:rPr>
                <w:sz w:val="20"/>
                <w:szCs w:val="20"/>
                <w:color w:val="auto"/>
              </w:rPr>
            </w:pPr>
            <w:r>
              <w:rPr>
                <w:rFonts w:ascii="Arial" w:cs="Arial" w:eastAsia="Arial" w:hAnsi="Arial"/>
                <w:sz w:val="14"/>
                <w:szCs w:val="14"/>
                <w:b w:val="1"/>
                <w:bCs w:val="1"/>
                <w:color w:val="auto"/>
              </w:rPr>
              <w:t>Other income/(expenses):</w:t>
            </w: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(805)</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(4,745)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(0.5)</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(3,701)</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r>
      <w:tr>
        <w:trPr>
          <w:trHeight w:val="137"/>
        </w:trPr>
        <w:tc>
          <w:tcPr>
            <w:tcW w:w="2040" w:type="dxa"/>
            <w:vAlign w:val="bottom"/>
          </w:tcPr>
          <w:p>
            <w:pPr>
              <w:spacing w:after="0" w:line="137" w:lineRule="exact"/>
              <w:rPr>
                <w:sz w:val="20"/>
                <w:szCs w:val="20"/>
                <w:color w:val="auto"/>
              </w:rPr>
            </w:pPr>
            <w:r>
              <w:rPr>
                <w:rFonts w:ascii="Arial" w:cs="Arial" w:eastAsia="Arial" w:hAnsi="Arial"/>
                <w:sz w:val="14"/>
                <w:szCs w:val="14"/>
                <w:color w:val="auto"/>
              </w:rPr>
              <w:t>Foreign exchange gain (loss),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6"/>
        </w:trPr>
        <w:tc>
          <w:tcPr>
            <w:tcW w:w="2040" w:type="dxa"/>
            <w:vAlign w:val="bottom"/>
          </w:tcPr>
          <w:p>
            <w:pPr>
              <w:ind w:left="14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1,554</w:t>
            </w: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(723)</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1,100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157</w:t>
            </w: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r>
      <w:tr>
        <w:trPr>
          <w:trHeight w:val="213"/>
        </w:trPr>
        <w:tc>
          <w:tcPr>
            <w:tcW w:w="2040" w:type="dxa"/>
            <w:vAlign w:val="bottom"/>
            <w:shd w:val="clear" w:color="auto" w:fill="CCEEFF"/>
          </w:tcPr>
          <w:p>
            <w:pPr>
              <w:spacing w:after="0"/>
              <w:rPr>
                <w:sz w:val="20"/>
                <w:szCs w:val="20"/>
                <w:color w:val="auto"/>
              </w:rPr>
            </w:pPr>
            <w:r>
              <w:rPr>
                <w:rFonts w:ascii="Arial" w:cs="Arial" w:eastAsia="Arial" w:hAnsi="Arial"/>
                <w:sz w:val="14"/>
                <w:szCs w:val="14"/>
                <w:color w:val="auto"/>
              </w:rPr>
              <w:t>Others, net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35,164</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9,683</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1,385</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4"/>
                <w:szCs w:val="14"/>
                <w:b w:val="1"/>
                <w:bCs w:val="1"/>
                <w:color w:val="auto"/>
              </w:rPr>
              <w:t>Total other income, net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1,245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29,696</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7,082</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1,013</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before income tax</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(189,326)</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(20.8)</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(158,854)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(16.8)</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(94,852)</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(13,564)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(14.0)</w:t>
            </w: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2040" w:type="dxa"/>
            <w:vAlign w:val="bottom"/>
          </w:tcPr>
          <w:p>
            <w:pPr>
              <w:spacing w:after="0"/>
              <w:rPr>
                <w:sz w:val="20"/>
                <w:szCs w:val="20"/>
                <w:color w:val="auto"/>
              </w:rPr>
            </w:pPr>
            <w:r>
              <w:rPr>
                <w:rFonts w:ascii="Arial" w:cs="Arial" w:eastAsia="Arial" w:hAnsi="Arial"/>
                <w:sz w:val="14"/>
                <w:szCs w:val="14"/>
                <w:color w:val="auto"/>
              </w:rPr>
              <w:t>Income tax expense</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(742)</w:t>
            </w:r>
          </w:p>
        </w:tc>
        <w:tc>
          <w:tcPr>
            <w:tcW w:w="80" w:type="dxa"/>
            <w:vAlign w:val="bottom"/>
          </w:tcPr>
          <w:p>
            <w:pPr>
              <w:spacing w:after="0"/>
              <w:rPr>
                <w:sz w:val="16"/>
                <w:szCs w:val="16"/>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(384)</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(818)</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r>
      <w:tr>
        <w:trPr>
          <w:trHeight w:val="155"/>
        </w:trPr>
        <w:tc>
          <w:tcPr>
            <w:tcW w:w="20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Share of profit from equity</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1"/>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method investment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6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1,111</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(186,580)</w:t>
            </w: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(20.5)</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(157,122)</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(16.6)</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(94,559)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(13,522)</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(14.0)</w:t>
            </w:r>
          </w:p>
        </w:tc>
      </w:tr>
      <w:tr>
        <w:trPr>
          <w:trHeight w:val="128"/>
        </w:trPr>
        <w:tc>
          <w:tcPr>
            <w:tcW w:w="2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Less: Net loss attributable to</w:t>
            </w: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91"/>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(8,216)</w:t>
            </w: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7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(2,316)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491</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spacing w:after="0"/>
              <w:rPr>
                <w:sz w:val="16"/>
                <w:szCs w:val="16"/>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040" w:type="dxa"/>
            <w:vAlign w:val="bottom"/>
          </w:tcPr>
          <w:p>
            <w:pPr>
              <w:spacing w:after="0"/>
              <w:rPr>
                <w:sz w:val="20"/>
                <w:szCs w:val="20"/>
                <w:color w:val="auto"/>
              </w:rPr>
            </w:pPr>
            <w:r>
              <w:rPr>
                <w:rFonts w:ascii="Arial" w:cs="Arial" w:eastAsia="Arial" w:hAnsi="Arial"/>
                <w:sz w:val="14"/>
                <w:szCs w:val="14"/>
                <w:b w:val="1"/>
                <w:bCs w:val="1"/>
                <w:color w:val="auto"/>
              </w:rPr>
              <w:t>Net loss attributable to DSC</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(178,364)</w:t>
            </w: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(19.6)</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(154,806)</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(16.3)</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(95,050)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(13,592)</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(14.0)</w:t>
            </w:r>
          </w:p>
        </w:tc>
      </w:tr>
      <w:tr>
        <w:trPr>
          <w:trHeight w:val="20"/>
        </w:trPr>
        <w:tc>
          <w:tcPr>
            <w:tcW w:w="2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-3063240</wp:posOffset>
            </wp:positionV>
            <wp:extent cx="2413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130" cy="6350"/>
                    </a:xfrm>
                    <a:prstGeom prst="rect">
                      <a:avLst/>
                    </a:prstGeom>
                    <a:noFill/>
                  </pic:spPr>
                </pic:pic>
              </a:graphicData>
            </a:graphic>
          </wp:anchor>
        </w:drawing>
      </w:r>
    </w:p>
    <w:p>
      <w:pPr>
        <w:spacing w:after="0" w:line="12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Year Ended December 31, 2025 Compared to Year Ended December 31, 2024</w:t>
      </w:r>
    </w:p>
    <w:p>
      <w:pPr>
        <w:spacing w:after="0" w:line="16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Revenues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total revenues decreased by 28.6% from RMB948.2 million in 2024 to RMB677.1 million (US$96.8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Revenues from our digitalization solutions decreased by 19.9% from RMB93.0 million in 2024 to RMB74.5 million (US$10.7 million) in 2025. The decrease was primarily attributable to a decrease of RMB16.9 million (US$2.4 million) in revenues from customer engagement solutions provided to OEMs, partially offset by changes in revenues from other digitalization solutions. The decrease in revenues from customer engagement solutions was primarily attributable to our more selective approach to accepting new projects due to profitability and receivable concerns.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6" w:name="page157"/>
    <w:bookmarkEnd w:id="15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Revenues from our transaction services decreased by 29.6% from RMB855.3 million in 2024 to</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RMB602.5 million (US$86.2 million) in 2025, driven by:</w:t>
      </w:r>
    </w:p>
    <w:p>
      <w:pPr>
        <w:spacing w:after="0" w:line="70" w:lineRule="exact"/>
        <w:rPr>
          <w:sz w:val="20"/>
          <w:szCs w:val="20"/>
          <w:color w:val="auto"/>
        </w:rPr>
      </w:pPr>
    </w:p>
    <w:p>
      <w:pPr>
        <w:ind w:left="2000" w:right="1398" w:hanging="336"/>
        <w:spacing w:after="0" w:line="271" w:lineRule="auto"/>
        <w:tabs>
          <w:tab w:leader="none" w:pos="196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decrease of RMB256.4 million (US$36.7 million) in revenue from financial product referral services, driven by the Disposition in December 2024;</w:t>
      </w:r>
    </w:p>
    <w:p>
      <w:pPr>
        <w:spacing w:after="0" w:line="41" w:lineRule="exact"/>
        <w:rPr>
          <w:rFonts w:ascii="Arial" w:cs="Arial" w:eastAsia="Arial" w:hAnsi="Arial"/>
          <w:sz w:val="14"/>
          <w:szCs w:val="14"/>
          <w:color w:val="auto"/>
        </w:rPr>
      </w:pPr>
    </w:p>
    <w:p>
      <w:pPr>
        <w:jc w:val="both"/>
        <w:ind w:left="2000" w:right="1398" w:hanging="336"/>
        <w:spacing w:after="0" w:line="245" w:lineRule="auto"/>
        <w:tabs>
          <w:tab w:leader="none" w:pos="19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decrease of RMB5.9 million (US$0.8 million) in revenue from delivery services due to a decrease in warehousing revenue as a result of better turnover of our clients’ vehicles and a decrease in title transfer revenue as a result of the decrease in outstanding orders sourced from Souche Holding Ltd.; and</w:t>
      </w:r>
    </w:p>
    <w:p>
      <w:pPr>
        <w:spacing w:after="0" w:line="68" w:lineRule="exact"/>
        <w:rPr>
          <w:rFonts w:ascii="Arial" w:cs="Arial" w:eastAsia="Arial" w:hAnsi="Arial"/>
          <w:sz w:val="14"/>
          <w:szCs w:val="14"/>
          <w:color w:val="auto"/>
        </w:rPr>
      </w:pPr>
    </w:p>
    <w:p>
      <w:pPr>
        <w:jc w:val="both"/>
        <w:ind w:left="2000" w:right="1398" w:hanging="336"/>
        <w:spacing w:after="0" w:line="251" w:lineRule="auto"/>
        <w:tabs>
          <w:tab w:leader="none" w:pos="19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decrease of RMB4.0 million (US$0.6 million) in revenue from B2B transaction facilitation, due to a decrease in number of vehicles from sellers, which were affected by the consolidation of franchisee dealer groups of OEMs of non-EV cars.</w:t>
      </w:r>
    </w:p>
    <w:p>
      <w:pPr>
        <w:spacing w:after="0" w:line="6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decrease was partially offset by an increase of RMB7.8 million (US$1.1 million) in revenues from inspection and certification services and a net increase of RMB5.8 million (US$0.8 million) in revenues from marketing and other services. The net increase in revenues from marketing and other services primarily reflected increases in revenues from technology services provided to Souche and revenues generated from brand licensing arrangements, partially offset by a decrease in revenue from marketing and other services.</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Cost of Revenues</w:t>
      </w:r>
    </w:p>
    <w:p>
      <w:pPr>
        <w:spacing w:after="0" w:line="96"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Our cost of revenues decreased by 36.6% from RMB657.5 million in 2024 to RMB416.7 million (US$59.6 million) in 2025, attributable to a decrease of RMB204.8 million (US$ 29.3 million) in service fees paid to third parties and a decrease of RMB37.2 million (US$5.3 million) in product procurement.</w:t>
      </w:r>
    </w:p>
    <w:p>
      <w:pPr>
        <w:spacing w:after="0" w:line="8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cost of revenues for digitalization solutions decreased by 6.7% from RMB42.1 million in 2024 to RMB39.3 million (US$5.6 million) in 2025, largely in line with the decrease in revenue from digitalization solutions.</w:t>
      </w:r>
    </w:p>
    <w:p>
      <w:pPr>
        <w:spacing w:after="0" w:line="99"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cost of revenues for transaction services decreased by 38.7% from RMB615.4 million in 2024 to RMB377.4 million (US$54.0 million) in 2025, attributable to decreases in service fees paid to third parties and procurement costs resulting from the Disposition of in December 2024.</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Gross Profit &amp; Gross Margin</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a result of the foregoing, our gross profit decreased by 10.4% from RMB290.7 million in 2024 to RMB260.4 million (US$37.2 million) in 2025. Our gross margin increased from 30.7% in 2024, to 38.5% in 2025 due to the disposition of financial product referral services which generally yield relatively lower gross profit margins.</w:t>
      </w:r>
    </w:p>
    <w:p>
      <w:pPr>
        <w:spacing w:after="0" w:line="102"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gross margin for digitalization solutions decreased from 54.7% in 2024 to 47.3% in 2025 as a result of increased competition among OEMs leading to tightened budget for our digitalization solutions and increasing service charge related to cloud services.</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gross margin for transaction services increased from 28.0% in 2024 to 37.4% in 2025, driven by the disposition of financial product referral services, which generally yielded relatively lower gross profit margins.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7" w:name="page158"/>
    <w:bookmarkEnd w:id="15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total operating expenses decreased by 24.4% from RMB479.3 million in 2024 to RMB362.3 million (US$51.8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Sales and marketing expenses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sales and marketing expenses decreased by 28.4% from RMB277.6 million in 2024 to RMB198.8 million (US$28.4 million) in 2025, primarily due to a decrease of RMB63.4 million (US$9.1 million) in service charge and a decrease of RMB22.5 million (US$3.2 million) in personnel costs as we reduced headcount and third-party service fees associated with promoting financial product referral services, following our disposition of such services in December 2024.</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General and administrative expenses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general and administrative expenses decreased by 22.3% from RMB101.6 million in 2024 to RMB78.9 million (US$11.3 million) in 2025, primarily due to a decrease of RMB15.4 million (US$2.2 million) in personnel costs as we reduced headcount, a decrease of RMB5.7 million (US$0.8 million) in credit impairment loss resulting from our enhanced collection efforts, and a decrease of RMB5.3 million (US$0.8 million) of rental fees incurred in relation to closure of certain of our offline premises, partially offset by an increase of RMB6.2 million (US$0.9 million) in others as a result of much less government grant received.</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Research and development expenses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research and development decreased by 15.3% from RMB100.0 million in 2024 to RMB84.7 million (US$12.1 million) in 2025, primarily due to a decrease of RMB12.3 million (US$1.8 million) in personnel costs as we reduced headcount.</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Loss from Operations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losses from operations decreased by 46.0% from RMB188.6 million in 2024 to RMB101.9 million (US$14.6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Other Income/(Expenses)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recorded other income of RMB29.7 million in 2024 and other income of RMB7.1 million (US$1.0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Interest income/(expense), net</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interest income consists primarily of interest earned on wealth management products we purchased from commercial banks. Our interest expenses consist primarily of interests related to our borrowings from commercial banks. We recorded a net interest expense of RMB4.7 million in 2024 and a net interest expense of RMB3.7 million (US$0.5 million) in 2025, mainly due to less interest paid for borrowings from commercial banks to support our operations.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Foreign exchange (loss) gain, net</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recorded foreign exchange loss, net of RMB0.7 million in 2024 and foreign exchange gain, net of RMB1.1 million (US$0.2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Others, net</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We recorded others, net of RMB35.2 million in 2024 and RMB9.7 million (US$1.4 million) in 2025.</w:t>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The decrease was attributed to the gain from Disposition in prior year, which did not recur in 2025.</w:t>
      </w:r>
    </w:p>
    <w:p>
      <w:pPr>
        <w:spacing w:after="0" w:line="11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8" w:name="page159"/>
    <w:bookmarkEnd w:id="15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Loss Before Income Taxes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loss before income taxes decreased by 40.3% from RMB158.9 million in 2024 to RMB94.9 million (US$13.6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Income Tax Benefit (Expense)</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recorded income tax expenses of RMB0.4 million and RMB0.8 million (US$0.1 million) in 2024 and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 of Profit from Equity Method Investments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share of profit from equity method investments decreased by 47.6% from RMB2.1 million in 2024 to RMB1.1 million (US$0.2 million) in 2025, primarily due to a decrease in profits of joint ventures in which we invested.</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Net Loss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net loss decreased by 39.8% from RMB157.1 million in 2024 to RMB94.6 million (US$13.5 million) in 2025.</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Year Ended December 31, 2024 Compared to Year Ended December 31, 2023</w:t>
      </w:r>
    </w:p>
    <w:p>
      <w:pPr>
        <w:spacing w:after="0" w:line="16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Revenues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total revenues increased by 4.3% from RMB909.0 million in 2023 to RMB948.2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Revenues from our digitalization solutions decreased by 33.7% from RMB140.3 million in 2023 to RMB93.0 million in 2024. This decrease was primarily due to (i) a decrease of RMB39.2 million in the revenue from customer engagement solutions provided to OEMs and (ii) a decrease of RMB8.1 million in the revenue from subscription fees. The decrease in the revenue from customer engagement solutions was primarily due to our strategic decision to prioritize collaborations with OEMs that demonstrate a strong potential for sustained, long-term partnerships and devote more resources on providing services to OEMs to help them manage their customer engagement channels, as opposed to customer engagement solutions involving the development of digital systems and applications, leading to reduced revenues generated from customer engagement solutions during this period.</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Revenues from our transaction services increased by 11.3% from RMB768.8 million in 2023 to</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RMB855.3 million in 2024, driven by:</w:t>
      </w:r>
    </w:p>
    <w:p>
      <w:pPr>
        <w:spacing w:after="0" w:line="70" w:lineRule="exact"/>
        <w:rPr>
          <w:sz w:val="20"/>
          <w:szCs w:val="20"/>
          <w:color w:val="auto"/>
        </w:rPr>
      </w:pPr>
    </w:p>
    <w:p>
      <w:pPr>
        <w:jc w:val="both"/>
        <w:ind w:left="2000" w:right="1398" w:hanging="336"/>
        <w:spacing w:after="0" w:line="280" w:lineRule="auto"/>
        <w:tabs>
          <w:tab w:leader="none" w:pos="1967"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 increase of RMB83.2 million in the revenue from delivery services, driven by the strong growth of our single car delivery services provided to OEMs. The total volume for our single car delivery service increased from 109,721 vehicles in 2023 to 153,308 vehicles in 2024;</w:t>
      </w:r>
    </w:p>
    <w:p>
      <w:pPr>
        <w:spacing w:after="0" w:line="47" w:lineRule="exact"/>
        <w:rPr>
          <w:rFonts w:ascii="Arial" w:cs="Arial" w:eastAsia="Arial" w:hAnsi="Arial"/>
          <w:sz w:val="13"/>
          <w:szCs w:val="13"/>
          <w:color w:val="auto"/>
        </w:rPr>
      </w:pPr>
    </w:p>
    <w:p>
      <w:pPr>
        <w:jc w:val="both"/>
        <w:ind w:left="2000" w:right="1398" w:hanging="336"/>
        <w:spacing w:after="0" w:line="251" w:lineRule="auto"/>
        <w:tabs>
          <w:tab w:leader="none" w:pos="1956" w:val="left"/>
        </w:tabs>
        <w:numPr>
          <w:ilvl w:val="0"/>
          <w:numId w:val="69"/>
        </w:numPr>
        <w:rPr>
          <w:rFonts w:ascii="Arial" w:cs="Arial" w:eastAsia="Arial" w:hAnsi="Arial"/>
          <w:sz w:val="14"/>
          <w:szCs w:val="14"/>
          <w:color w:val="auto"/>
        </w:rPr>
      </w:pPr>
      <w:r>
        <w:rPr>
          <w:rFonts w:ascii="Arial" w:cs="Arial" w:eastAsia="Arial" w:hAnsi="Arial"/>
          <w:sz w:val="14"/>
          <w:szCs w:val="14"/>
          <w:color w:val="auto"/>
        </w:rPr>
        <w:t>an increase of RMB22.6 million in revenue from financial product referral services, due to the increased volume of auto loans achieved through the referrals, from RMB2,732.0 million in 2023 to RMB3,934.0 million in 2024; and</w:t>
      </w:r>
    </w:p>
    <w:p>
      <w:pPr>
        <w:spacing w:after="0" w:line="55" w:lineRule="exact"/>
        <w:rPr>
          <w:sz w:val="20"/>
          <w:szCs w:val="20"/>
          <w:color w:val="auto"/>
        </w:rPr>
      </w:pPr>
    </w:p>
    <w:p>
      <w:pPr>
        <w:jc w:val="both"/>
        <w:ind w:left="2000" w:right="1398" w:hanging="336"/>
        <w:spacing w:after="0" w:line="251" w:lineRule="auto"/>
        <w:tabs>
          <w:tab w:leader="none" w:pos="1964"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 increase of RMB1.1 million in the revenue from used car inspection and certification services, driven by an increasing market demand for our vehicle maintenance related services.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59" w:name="page160"/>
    <w:bookmarkEnd w:id="15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increase was partially offset by: (i) a decrease of RMB10.1 million in the revenue from marketing services and others; and (ii) a decrease of RMB10.3 million in revenue from B2B transaction facilitation services.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Cost of Revenues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cost of revenues increased by 9.0% from RMB603.3 million in 2023 to RMB657.5 million in 2024, attributable to an increase of RMB91.3 million in service fees paid to third parties, partially offset by a decrease of RMB30.5 million in personnel cost.</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cost of revenues for digitalization solutions decreased by 47.8% from RMB80.6 million in 2023 to RMB42.1 million in 2024, largely in line with the decrease in revenues from digitalization solutions.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cost of revenues for transaction services increased by 17.7% from RMB522.7 million in 2023 to RMB615.4 million in 2024, driven by the increase in the services fees paid to third parties to scale up our various transaction services, particularly our single car delivery services as well as financial product referral services.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Gross Profit &amp; Gross Margin</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a result of the foregoing, our gross profit decreased by 4.9% from RMB305.7 million in 2023 to RMB290.7 million in 2024. Our gross margin decreased from 33.6% in 2023, to 30.7% in 2024 due to the growth of single car delivery services as well as financial product referral services which generally yield relatively lower gross profit margins.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gross margin for digitalization solutions increased from 42.5% in 2023 to 54.7% in 2024, driven by relatively higher contribution from subscription services as a percentage of total revenue from digitalization solutions, which generally have a higher gross margin than customer engagement solutions.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gross margin for transaction services decreased from 32.0% in 2023 to 28.0% in 2024, driven by the growth of single car delivery services as well as financial product referral services which generally yield relatively lower gross profit margins.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total operating expenses decreased by 3.4% from RMB496.3 million in 2023 to RMB479.3 million in 2024.</w:t>
      </w:r>
    </w:p>
    <w:p>
      <w:pPr>
        <w:spacing w:after="0" w:line="105"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Sales and marketing expenses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sales and marketing expenses increased by 4.7% from RMB265.2 million in 2023 to RMB277.6 million in 2024, due to an increase of RMB97.3 million in service charge and an increase of RMB13.6 million in business promotion fees, partially offset by a decrease of RMB87.7 million in personnel costs. The foregoing changes are driven by our strategy to expand our service network and increase collaborations with third parties to support our sales and marketing activities in locations where we do not have subsidiaries or significant presence, leading to an increase in service fees incurred.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0" w:name="page161"/>
    <w:bookmarkEnd w:id="16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General and administrative expenses</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general and administrative expenses decreased by 30.2% from RMB145.5 million in 2023 to RMB101.6 million in 2024, primarily due to a decrease of RMB19.4 million in personnel costs resulting from optimization of our workforce and implementation of cost control measures and a decrease of RMB11.7 million in others as a result of government grant supporting our operations.</w:t>
      </w:r>
    </w:p>
    <w:p>
      <w:pPr>
        <w:spacing w:after="0" w:line="112"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Research and development expenses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research and development expenses increased by 16.8% from RMB85.6 million in 2023 to RMB100.0 million in 2024, primarily due to an increase of RMB11.3 million in personnel costs as a result of our increased investment in research and development activities.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Loss from Operations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losses from operations decreased by 1.0% from RMB190.6 million in 2023 to RMB188.6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Other Income/(Expenses)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recorded other income of RMB1.2 million in 2023 and other income of RMB29.7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Interest income/(expense), net</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interest income consists primarily of interest earned on wealth management products we purchased from commercial banks. Our interest expenses consist primarily of interests related to our borrowings from commercial banks. Our net interest expense increased from RMB0.8 million in 2023 to RMB4.7 million in 2024, driven by increased borrowings from commercial banks to support our operations.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Foreign exchange (loss) gain, net</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foreign exchange (loss) gain, net decreased from gain of RMB1.6 million in 2023 to loss of RMB0.7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Others, net</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others, net increased from RMB496 thousand in 2023 to RMB35.2 million in 2024, primarily as a result of gain recognized from our Disposition in December 2024.</w:t>
      </w:r>
    </w:p>
    <w:p>
      <w:pPr>
        <w:spacing w:after="0" w:line="95"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Loss Before Income Taxes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loss before income taxes decreased by 16.1% from RMB189.3 million in 2023 to RMB158.9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Income Tax Benefit (Expense)</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recorded income tax expenses of RMB0.7 million in 2023, and income tax expenses of RMB0.4 million in 2024.</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 of Profit from Equity Method Investments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share of profit from equity method investments decreased by 40% from RMB3.5 million in 2023 to RMB2.1 million in 2024, due to a decrease in dividends from a joint venture in which we invested.</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1" w:name="page162"/>
    <w:bookmarkEnd w:id="161"/>
    <w:p>
      <w:pPr>
        <w:jc w:val="center"/>
        <w:ind w:right="5118"/>
        <w:spacing w:after="0"/>
        <w:rPr>
          <w:sz w:val="20"/>
          <w:szCs w:val="20"/>
          <w:color w:val="auto"/>
        </w:rPr>
      </w:pPr>
      <w:r>
        <w:rPr>
          <w:rFonts w:ascii="Arial" w:cs="Arial" w:eastAsia="Arial" w:hAnsi="Arial"/>
          <w:sz w:val="13"/>
          <w:szCs w:val="13"/>
          <w:u w:val="single" w:color="auto"/>
          <w:color w:val="0000EE"/>
        </w:rPr>
        <w:t>Table of Contents</w:t>
      </w:r>
    </w:p>
    <w:p>
      <w:pPr>
        <w:spacing w:after="0" w:line="174"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Net Loss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a result of the foregoing, our net loss decreased by 15.8% from RMB186.6 million in 2023 to RMB157.1 million in 2024.</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Selected Quarterly Results of Operations</w:t>
      </w:r>
    </w:p>
    <w:p>
      <w:pPr>
        <w:spacing w:after="0" w:line="8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following table sets forth our unaudited condensed combined and consolidated quarterly results of operations for the periods indicated. You should read the following table in conjunction with our combined and consolidated financial statements and related notes included elsewhere in this prospectus. We have prepared the unaudited condensed combined and consolidated quarterly financial information on the same basis as our combined and consolidated financial statements. The unaudited condensed combined and consolidated quarterly financial data includes all adjustments, consisting only of normal and recurring adjustments that our management considered necessary for a fair statement of our financial position and results of operation for the quarters presented. Our historical results for any particular quarter are not necessarily indicative of our future results.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1"/>
                <w:szCs w:val="11"/>
                <w:b w:val="1"/>
                <w:bCs w:val="1"/>
                <w:color w:val="auto"/>
              </w:rPr>
              <w:t>For the Three Months Ended</w:t>
            </w: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9"/>
                <w:szCs w:val="9"/>
                <w:color w:val="auto"/>
              </w:rPr>
            </w:pPr>
          </w:p>
        </w:tc>
        <w:tc>
          <w:tcPr>
            <w:tcW w:w="560" w:type="dxa"/>
            <w:vAlign w:val="bottom"/>
            <w:gridSpan w:val="2"/>
          </w:tcPr>
          <w:p>
            <w:pPr>
              <w:jc w:val="center"/>
              <w:ind w:right="40"/>
              <w:spacing w:after="0" w:line="111" w:lineRule="exact"/>
              <w:rPr>
                <w:sz w:val="20"/>
                <w:szCs w:val="20"/>
                <w:color w:val="auto"/>
              </w:rPr>
            </w:pPr>
            <w:r>
              <w:rPr>
                <w:rFonts w:ascii="Arial" w:cs="Arial" w:eastAsia="Arial" w:hAnsi="Arial"/>
                <w:sz w:val="11"/>
                <w:szCs w:val="11"/>
                <w:b w:val="1"/>
                <w:bCs w:val="1"/>
                <w:color w:val="auto"/>
                <w:w w:val="99"/>
              </w:rPr>
              <w:t>June 30,</w:t>
            </w:r>
          </w:p>
        </w:tc>
        <w:tc>
          <w:tcPr>
            <w:tcW w:w="2060" w:type="dxa"/>
            <w:vAlign w:val="bottom"/>
            <w:gridSpan w:val="5"/>
          </w:tcPr>
          <w:p>
            <w:pPr>
              <w:jc w:val="right"/>
              <w:spacing w:after="0" w:line="111" w:lineRule="exact"/>
              <w:rPr>
                <w:sz w:val="20"/>
                <w:szCs w:val="20"/>
                <w:color w:val="auto"/>
              </w:rPr>
            </w:pPr>
            <w:r>
              <w:rPr>
                <w:rFonts w:ascii="Arial" w:cs="Arial" w:eastAsia="Arial" w:hAnsi="Arial"/>
                <w:sz w:val="11"/>
                <w:szCs w:val="11"/>
                <w:b w:val="1"/>
                <w:bCs w:val="1"/>
                <w:color w:val="auto"/>
              </w:rPr>
              <w:t>September 30, December 31, March 31,</w:t>
            </w:r>
          </w:p>
        </w:tc>
        <w:tc>
          <w:tcPr>
            <w:tcW w:w="80" w:type="dxa"/>
            <w:vAlign w:val="bottom"/>
          </w:tcPr>
          <w:p>
            <w:pPr>
              <w:spacing w:after="0"/>
              <w:rPr>
                <w:sz w:val="9"/>
                <w:szCs w:val="9"/>
                <w:color w:val="auto"/>
              </w:rPr>
            </w:pPr>
          </w:p>
        </w:tc>
        <w:tc>
          <w:tcPr>
            <w:tcW w:w="1980" w:type="dxa"/>
            <w:vAlign w:val="bottom"/>
            <w:gridSpan w:val="5"/>
          </w:tcPr>
          <w:p>
            <w:pPr>
              <w:jc w:val="right"/>
              <w:spacing w:after="0" w:line="111" w:lineRule="exact"/>
              <w:rPr>
                <w:sz w:val="20"/>
                <w:szCs w:val="20"/>
                <w:color w:val="auto"/>
              </w:rPr>
            </w:pPr>
            <w:r>
              <w:rPr>
                <w:rFonts w:ascii="Arial" w:cs="Arial" w:eastAsia="Arial" w:hAnsi="Arial"/>
                <w:sz w:val="11"/>
                <w:szCs w:val="11"/>
                <w:b w:val="1"/>
                <w:bCs w:val="1"/>
                <w:color w:val="auto"/>
              </w:rPr>
              <w:t>June 30, September 30, December 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(RMB in thousands)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244,691</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235,319</w:t>
            </w:r>
          </w:p>
        </w:tc>
        <w:tc>
          <w:tcPr>
            <w:tcW w:w="8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241,733</w:t>
            </w:r>
          </w:p>
        </w:tc>
        <w:tc>
          <w:tcPr>
            <w:tcW w:w="8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226,484</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142,736</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161,104</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181,536</w:t>
            </w: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191,683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1140" w:type="dxa"/>
            <w:vAlign w:val="bottom"/>
            <w:gridSpan w:val="4"/>
          </w:tcPr>
          <w:p>
            <w:pPr>
              <w:jc w:val="right"/>
              <w:ind w:right="40"/>
              <w:spacing w:after="0"/>
              <w:rPr>
                <w:sz w:val="20"/>
                <w:szCs w:val="20"/>
                <w:color w:val="auto"/>
              </w:rPr>
            </w:pPr>
            <w:r>
              <w:rPr>
                <w:rFonts w:ascii="Arial" w:cs="Arial" w:eastAsia="Arial" w:hAnsi="Arial"/>
                <w:sz w:val="12"/>
                <w:szCs w:val="12"/>
                <w:color w:val="auto"/>
              </w:rPr>
              <w:t>(165,516) (163,681)</w:t>
            </w:r>
          </w:p>
        </w:tc>
        <w:tc>
          <w:tcPr>
            <w:tcW w:w="700" w:type="dxa"/>
            <w:vAlign w:val="bottom"/>
          </w:tcPr>
          <w:p>
            <w:pPr>
              <w:jc w:val="right"/>
              <w:spacing w:after="0"/>
              <w:rPr>
                <w:sz w:val="20"/>
                <w:szCs w:val="20"/>
                <w:color w:val="auto"/>
              </w:rPr>
            </w:pPr>
            <w:r>
              <w:rPr>
                <w:rFonts w:ascii="Arial" w:cs="Arial" w:eastAsia="Arial" w:hAnsi="Arial"/>
                <w:sz w:val="12"/>
                <w:szCs w:val="12"/>
                <w:color w:val="auto"/>
              </w:rPr>
              <w:t>(162,536)</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(165,793)</w:t>
            </w:r>
          </w:p>
        </w:tc>
        <w:tc>
          <w:tcPr>
            <w:tcW w:w="500" w:type="dxa"/>
            <w:vAlign w:val="bottom"/>
          </w:tcPr>
          <w:p>
            <w:pPr>
              <w:jc w:val="right"/>
              <w:spacing w:after="0"/>
              <w:rPr>
                <w:sz w:val="20"/>
                <w:szCs w:val="20"/>
                <w:color w:val="auto"/>
              </w:rPr>
            </w:pPr>
            <w:r>
              <w:rPr>
                <w:rFonts w:ascii="Arial" w:cs="Arial" w:eastAsia="Arial" w:hAnsi="Arial"/>
                <w:sz w:val="12"/>
                <w:szCs w:val="12"/>
                <w:color w:val="auto"/>
              </w:rPr>
              <w:t>(84,993)</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(93,943)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(113,136)</w:t>
            </w:r>
          </w:p>
        </w:tc>
        <w:tc>
          <w:tcPr>
            <w:tcW w:w="640" w:type="dxa"/>
            <w:vAlign w:val="bottom"/>
          </w:tcPr>
          <w:p>
            <w:pPr>
              <w:jc w:val="right"/>
              <w:spacing w:after="0"/>
              <w:rPr>
                <w:sz w:val="20"/>
                <w:szCs w:val="20"/>
                <w:color w:val="auto"/>
              </w:rPr>
            </w:pPr>
            <w:r>
              <w:rPr>
                <w:rFonts w:ascii="Arial" w:cs="Arial" w:eastAsia="Arial" w:hAnsi="Arial"/>
                <w:sz w:val="12"/>
                <w:szCs w:val="12"/>
                <w:color w:val="auto"/>
              </w:rPr>
              <w:t>(124,590)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Gross profit</w:t>
            </w: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220" w:type="dxa"/>
            <w:vAlign w:val="bottom"/>
            <w:tcBorders>
              <w:right w:val="single" w:sz="8" w:color="CCEEFF"/>
            </w:tcBorders>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79,175</w:t>
            </w:r>
          </w:p>
        </w:tc>
        <w:tc>
          <w:tcPr>
            <w:tcW w:w="80" w:type="dxa"/>
            <w:vAlign w:val="bottom"/>
            <w:tcBorders>
              <w:lef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71,638</w:t>
            </w:r>
          </w:p>
        </w:tc>
        <w:tc>
          <w:tcPr>
            <w:tcW w:w="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79,197</w:t>
            </w:r>
          </w:p>
        </w:tc>
        <w:tc>
          <w:tcPr>
            <w:tcW w:w="8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60,691</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57,743</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67,161</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68,400</w:t>
            </w: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67,093</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20" w:type="dxa"/>
            <w:vAlign w:val="bottom"/>
            <w:tcBorders>
              <w:right w:val="single" w:sz="8" w:color="CCEEFF"/>
            </w:tcBorders>
            <w:shd w:val="clear" w:color="auto" w:fill="CCEEFF"/>
          </w:tcPr>
          <w:p>
            <w:pPr>
              <w:spacing w:after="0" w:line="131" w:lineRule="exact"/>
              <w:rPr>
                <w:sz w:val="20"/>
                <w:szCs w:val="20"/>
                <w:color w:val="auto"/>
              </w:rPr>
            </w:pPr>
            <w:r>
              <w:rPr>
                <w:rFonts w:ascii="Arial" w:cs="Arial" w:eastAsia="Arial" w:hAnsi="Arial"/>
                <w:sz w:val="12"/>
                <w:szCs w:val="12"/>
                <w:color w:val="auto"/>
              </w:rPr>
              <w:t>Sales and marketing</w:t>
            </w: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expenses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(72,509)</w:t>
            </w:r>
          </w:p>
        </w:tc>
        <w:tc>
          <w:tcPr>
            <w:tcW w:w="64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(77,255)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(69,499)</w:t>
            </w:r>
          </w:p>
        </w:tc>
        <w:tc>
          <w:tcPr>
            <w:tcW w:w="860" w:type="dxa"/>
            <w:vAlign w:val="bottom"/>
            <w:tcBorders>
              <w:left w:val="single" w:sz="8" w:color="CCEEFF"/>
              <w:bottom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(58,321)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(46,542)</w:t>
            </w:r>
          </w:p>
        </w:tc>
        <w:tc>
          <w:tcPr>
            <w:tcW w:w="620" w:type="dxa"/>
            <w:vAlign w:val="bottom"/>
            <w:tcBorders>
              <w:left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(51,062)</w:t>
            </w:r>
          </w:p>
        </w:tc>
        <w:tc>
          <w:tcPr>
            <w:tcW w:w="8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(53,077)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(48,079)</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tcPr>
          <w:p>
            <w:pPr>
              <w:spacing w:after="0" w:line="131" w:lineRule="exact"/>
              <w:rPr>
                <w:sz w:val="20"/>
                <w:szCs w:val="20"/>
                <w:color w:val="auto"/>
              </w:rPr>
            </w:pPr>
            <w:r>
              <w:rPr>
                <w:rFonts w:ascii="Arial" w:cs="Arial" w:eastAsia="Arial" w:hAnsi="Arial"/>
                <w:sz w:val="12"/>
                <w:szCs w:val="12"/>
                <w:color w:val="auto"/>
              </w:rPr>
              <w:t>General and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administrative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(28,579)</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(27,124)</w:t>
            </w:r>
          </w:p>
        </w:tc>
        <w:tc>
          <w:tcPr>
            <w:tcW w:w="700" w:type="dxa"/>
            <w:vAlign w:val="bottom"/>
          </w:tcPr>
          <w:p>
            <w:pPr>
              <w:jc w:val="right"/>
              <w:spacing w:after="0"/>
              <w:rPr>
                <w:sz w:val="20"/>
                <w:szCs w:val="20"/>
                <w:color w:val="auto"/>
              </w:rPr>
            </w:pPr>
            <w:r>
              <w:rPr>
                <w:rFonts w:ascii="Arial" w:cs="Arial" w:eastAsia="Arial" w:hAnsi="Arial"/>
                <w:sz w:val="12"/>
                <w:szCs w:val="12"/>
                <w:color w:val="auto"/>
              </w:rPr>
              <w:t>(23,991)</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(21,934)</w:t>
            </w:r>
          </w:p>
        </w:tc>
        <w:tc>
          <w:tcPr>
            <w:tcW w:w="500" w:type="dxa"/>
            <w:vAlign w:val="bottom"/>
          </w:tcPr>
          <w:p>
            <w:pPr>
              <w:jc w:val="right"/>
              <w:spacing w:after="0"/>
              <w:rPr>
                <w:sz w:val="20"/>
                <w:szCs w:val="20"/>
                <w:color w:val="auto"/>
              </w:rPr>
            </w:pPr>
            <w:r>
              <w:rPr>
                <w:rFonts w:ascii="Arial" w:cs="Arial" w:eastAsia="Arial" w:hAnsi="Arial"/>
                <w:sz w:val="12"/>
                <w:szCs w:val="12"/>
                <w:color w:val="auto"/>
              </w:rPr>
              <w:t>(30,377)</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(16,514)</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(21,426)</w:t>
            </w:r>
          </w:p>
        </w:tc>
        <w:tc>
          <w:tcPr>
            <w:tcW w:w="640" w:type="dxa"/>
            <w:vAlign w:val="bottom"/>
          </w:tcPr>
          <w:p>
            <w:pPr>
              <w:jc w:val="right"/>
              <w:spacing w:after="0"/>
              <w:rPr>
                <w:sz w:val="20"/>
                <w:szCs w:val="20"/>
                <w:color w:val="auto"/>
              </w:rPr>
            </w:pPr>
            <w:r>
              <w:rPr>
                <w:rFonts w:ascii="Arial" w:cs="Arial" w:eastAsia="Arial" w:hAnsi="Arial"/>
                <w:sz w:val="12"/>
                <w:szCs w:val="12"/>
                <w:color w:val="auto"/>
              </w:rPr>
              <w:t>(10,592)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20" w:type="dxa"/>
            <w:vAlign w:val="bottom"/>
            <w:tcBorders>
              <w:right w:val="single" w:sz="8" w:color="CCEEFF"/>
            </w:tcBorders>
            <w:shd w:val="clear" w:color="auto" w:fill="CCEEFF"/>
          </w:tcPr>
          <w:p>
            <w:pPr>
              <w:spacing w:after="0" w:line="131" w:lineRule="exact"/>
              <w:rPr>
                <w:sz w:val="20"/>
                <w:szCs w:val="20"/>
                <w:color w:val="auto"/>
              </w:rPr>
            </w:pPr>
            <w:r>
              <w:rPr>
                <w:rFonts w:ascii="Arial" w:cs="Arial" w:eastAsia="Arial" w:hAnsi="Arial"/>
                <w:sz w:val="12"/>
                <w:szCs w:val="12"/>
                <w:color w:val="auto"/>
              </w:rPr>
              <w:t>Research and</w:t>
            </w: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development</w:t>
            </w: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(25,458)</w:t>
            </w: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(20,332)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(28,494)</w:t>
            </w:r>
          </w:p>
        </w:tc>
        <w:tc>
          <w:tcPr>
            <w:tcW w:w="8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(25,755)</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(23,910)</w:t>
            </w:r>
          </w:p>
        </w:tc>
        <w:tc>
          <w:tcPr>
            <w:tcW w:w="6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(24,196)</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(19,447)</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(17,109)</w:t>
            </w: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Total operating</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expenses</w:t>
            </w:r>
          </w:p>
        </w:tc>
        <w:tc>
          <w:tcPr>
            <w:tcW w:w="500" w:type="dxa"/>
            <w:vAlign w:val="bottom"/>
          </w:tcPr>
          <w:p>
            <w:pPr>
              <w:jc w:val="right"/>
              <w:spacing w:after="0"/>
              <w:rPr>
                <w:sz w:val="20"/>
                <w:szCs w:val="20"/>
                <w:color w:val="auto"/>
              </w:rPr>
            </w:pPr>
            <w:r>
              <w:rPr>
                <w:rFonts w:ascii="Arial" w:cs="Arial" w:eastAsia="Arial" w:hAnsi="Arial"/>
                <w:sz w:val="12"/>
                <w:szCs w:val="12"/>
                <w:color w:val="auto"/>
              </w:rPr>
              <w:t>(126,546)</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(124,711)</w:t>
            </w:r>
          </w:p>
        </w:tc>
        <w:tc>
          <w:tcPr>
            <w:tcW w:w="700" w:type="dxa"/>
            <w:vAlign w:val="bottom"/>
          </w:tcPr>
          <w:p>
            <w:pPr>
              <w:jc w:val="right"/>
              <w:spacing w:after="0"/>
              <w:rPr>
                <w:sz w:val="20"/>
                <w:szCs w:val="20"/>
                <w:color w:val="auto"/>
              </w:rPr>
            </w:pPr>
            <w:r>
              <w:rPr>
                <w:rFonts w:ascii="Arial" w:cs="Arial" w:eastAsia="Arial" w:hAnsi="Arial"/>
                <w:sz w:val="12"/>
                <w:szCs w:val="12"/>
                <w:color w:val="auto"/>
              </w:rPr>
              <w:t>(121,984)</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(106,010)</w:t>
            </w:r>
          </w:p>
        </w:tc>
        <w:tc>
          <w:tcPr>
            <w:tcW w:w="500" w:type="dxa"/>
            <w:vAlign w:val="bottom"/>
          </w:tcPr>
          <w:p>
            <w:pPr>
              <w:jc w:val="right"/>
              <w:spacing w:after="0"/>
              <w:rPr>
                <w:sz w:val="20"/>
                <w:szCs w:val="20"/>
                <w:color w:val="auto"/>
              </w:rPr>
            </w:pPr>
            <w:r>
              <w:rPr>
                <w:rFonts w:ascii="Arial" w:cs="Arial" w:eastAsia="Arial" w:hAnsi="Arial"/>
                <w:sz w:val="12"/>
                <w:szCs w:val="12"/>
                <w:color w:val="auto"/>
              </w:rPr>
              <w:t>(100,829)</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(91,772)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(93,950)</w:t>
            </w:r>
          </w:p>
        </w:tc>
        <w:tc>
          <w:tcPr>
            <w:tcW w:w="640" w:type="dxa"/>
            <w:vAlign w:val="bottom"/>
          </w:tcPr>
          <w:p>
            <w:pPr>
              <w:jc w:val="right"/>
              <w:spacing w:after="0"/>
              <w:rPr>
                <w:sz w:val="20"/>
                <w:szCs w:val="20"/>
                <w:color w:val="auto"/>
              </w:rPr>
            </w:pPr>
            <w:r>
              <w:rPr>
                <w:rFonts w:ascii="Arial" w:cs="Arial" w:eastAsia="Arial" w:hAnsi="Arial"/>
                <w:sz w:val="12"/>
                <w:szCs w:val="12"/>
                <w:color w:val="auto"/>
              </w:rPr>
              <w:t>(75,780)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right w:val="single" w:sz="8" w:color="CCEEFF"/>
            </w:tcBorders>
            <w:shd w:val="clear" w:color="auto" w:fill="CCEEFF"/>
          </w:tcPr>
          <w:p>
            <w:pPr>
              <w:spacing w:after="0" w:line="127" w:lineRule="exact"/>
              <w:rPr>
                <w:sz w:val="20"/>
                <w:szCs w:val="20"/>
                <w:color w:val="auto"/>
              </w:rPr>
            </w:pPr>
            <w:r>
              <w:rPr>
                <w:rFonts w:ascii="Arial" w:cs="Arial" w:eastAsia="Arial" w:hAnsi="Arial"/>
                <w:sz w:val="12"/>
                <w:szCs w:val="12"/>
                <w:color w:val="auto"/>
              </w:rPr>
              <w:t>Loss from</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(47,371)</w:t>
            </w: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(53,073)</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(42,787)</w:t>
            </w:r>
          </w:p>
        </w:tc>
        <w:tc>
          <w:tcPr>
            <w:tcW w:w="8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(45,319)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(43,086)</w:t>
            </w:r>
          </w:p>
        </w:tc>
        <w:tc>
          <w:tcPr>
            <w:tcW w:w="6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(24,611)</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(8,687)</w:t>
            </w: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Other</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income/(expense),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net</w:t>
            </w:r>
          </w:p>
        </w:tc>
        <w:tc>
          <w:tcPr>
            <w:tcW w:w="500" w:type="dxa"/>
            <w:vAlign w:val="bottom"/>
          </w:tcPr>
          <w:p>
            <w:pPr>
              <w:jc w:val="right"/>
              <w:spacing w:after="0"/>
              <w:rPr>
                <w:sz w:val="20"/>
                <w:szCs w:val="20"/>
                <w:color w:val="auto"/>
              </w:rPr>
            </w:pPr>
            <w:r>
              <w:rPr>
                <w:rFonts w:ascii="Arial" w:cs="Arial" w:eastAsia="Arial" w:hAnsi="Arial"/>
                <w:sz w:val="12"/>
                <w:szCs w:val="12"/>
                <w:color w:val="auto"/>
              </w:rPr>
              <w:t>604</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404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392</w:t>
            </w: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28,296</w:t>
            </w:r>
          </w:p>
        </w:tc>
        <w:tc>
          <w:tcPr>
            <w:tcW w:w="500" w:type="dxa"/>
            <w:vAlign w:val="bottom"/>
          </w:tcPr>
          <w:p>
            <w:pPr>
              <w:jc w:val="right"/>
              <w:spacing w:after="0"/>
              <w:rPr>
                <w:sz w:val="20"/>
                <w:szCs w:val="20"/>
                <w:color w:val="auto"/>
              </w:rPr>
            </w:pPr>
            <w:r>
              <w:rPr>
                <w:rFonts w:ascii="Arial" w:cs="Arial" w:eastAsia="Arial" w:hAnsi="Arial"/>
                <w:sz w:val="12"/>
                <w:szCs w:val="12"/>
                <w:color w:val="auto"/>
              </w:rPr>
              <w:t>3,574</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(444)</w:t>
            </w:r>
          </w:p>
        </w:tc>
        <w:tc>
          <w:tcPr>
            <w:tcW w:w="680" w:type="dxa"/>
            <w:vAlign w:val="bottom"/>
          </w:tcPr>
          <w:p>
            <w:pPr>
              <w:jc w:val="right"/>
              <w:spacing w:after="0"/>
              <w:rPr>
                <w:sz w:val="20"/>
                <w:szCs w:val="20"/>
                <w:color w:val="auto"/>
              </w:rPr>
            </w:pPr>
            <w:r>
              <w:rPr>
                <w:rFonts w:ascii="Arial" w:cs="Arial" w:eastAsia="Arial" w:hAnsi="Arial"/>
                <w:sz w:val="12"/>
                <w:szCs w:val="12"/>
                <w:color w:val="auto"/>
              </w:rPr>
              <w:t>1,515</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right w:val="single" w:sz="8" w:color="CCEEFF"/>
            </w:tcBorders>
            <w:shd w:val="clear" w:color="auto" w:fill="CCEEFF"/>
          </w:tcPr>
          <w:p>
            <w:pPr>
              <w:spacing w:after="0" w:line="127" w:lineRule="exact"/>
              <w:rPr>
                <w:sz w:val="20"/>
                <w:szCs w:val="20"/>
                <w:color w:val="auto"/>
              </w:rPr>
            </w:pPr>
            <w:r>
              <w:rPr>
                <w:rFonts w:ascii="Arial" w:cs="Arial" w:eastAsia="Arial" w:hAnsi="Arial"/>
                <w:sz w:val="12"/>
                <w:szCs w:val="12"/>
                <w:color w:val="auto"/>
              </w:rPr>
              <w:t>Loss before income</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(46,767)</w:t>
            </w: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(52,669)</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(42,395)</w:t>
            </w:r>
          </w:p>
        </w:tc>
        <w:tc>
          <w:tcPr>
            <w:tcW w:w="8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(17,023)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(39,512)</w:t>
            </w:r>
          </w:p>
        </w:tc>
        <w:tc>
          <w:tcPr>
            <w:tcW w:w="6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(25,055)</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(24,035)</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Income tax</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(expense)/benefit</w:t>
            </w:r>
          </w:p>
        </w:tc>
        <w:tc>
          <w:tcPr>
            <w:tcW w:w="500" w:type="dxa"/>
            <w:vAlign w:val="bottom"/>
          </w:tcPr>
          <w:p>
            <w:pPr>
              <w:jc w:val="right"/>
              <w:spacing w:after="0"/>
              <w:rPr>
                <w:sz w:val="20"/>
                <w:szCs w:val="20"/>
                <w:color w:val="auto"/>
              </w:rPr>
            </w:pPr>
            <w:r>
              <w:rPr>
                <w:rFonts w:ascii="Arial" w:cs="Arial" w:eastAsia="Arial" w:hAnsi="Arial"/>
                <w:sz w:val="12"/>
                <w:szCs w:val="12"/>
                <w:color w:val="auto"/>
              </w:rPr>
              <w:t>(732)</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(1,796)</w:t>
            </w:r>
          </w:p>
        </w:tc>
        <w:tc>
          <w:tcPr>
            <w:tcW w:w="700" w:type="dxa"/>
            <w:vAlign w:val="bottom"/>
          </w:tcPr>
          <w:p>
            <w:pPr>
              <w:jc w:val="right"/>
              <w:spacing w:after="0"/>
              <w:rPr>
                <w:sz w:val="20"/>
                <w:szCs w:val="20"/>
                <w:color w:val="auto"/>
              </w:rPr>
            </w:pPr>
            <w:r>
              <w:rPr>
                <w:rFonts w:ascii="Arial" w:cs="Arial" w:eastAsia="Arial" w:hAnsi="Arial"/>
                <w:sz w:val="12"/>
                <w:szCs w:val="12"/>
                <w:color w:val="auto"/>
              </w:rPr>
              <w:t>1,217</w:t>
            </w: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927</w:t>
            </w:r>
          </w:p>
        </w:tc>
        <w:tc>
          <w:tcPr>
            <w:tcW w:w="500" w:type="dxa"/>
            <w:vAlign w:val="bottom"/>
          </w:tcPr>
          <w:p>
            <w:pPr>
              <w:jc w:val="right"/>
              <w:spacing w:after="0"/>
              <w:rPr>
                <w:sz w:val="20"/>
                <w:szCs w:val="20"/>
                <w:color w:val="auto"/>
              </w:rPr>
            </w:pPr>
            <w:r>
              <w:rPr>
                <w:rFonts w:ascii="Arial" w:cs="Arial" w:eastAsia="Arial" w:hAnsi="Arial"/>
                <w:sz w:val="12"/>
                <w:szCs w:val="12"/>
                <w:color w:val="auto"/>
              </w:rPr>
              <w:t>(181)</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(187)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(190)</w:t>
            </w:r>
          </w:p>
        </w:tc>
        <w:tc>
          <w:tcPr>
            <w:tcW w:w="640" w:type="dxa"/>
            <w:vAlign w:val="bottom"/>
          </w:tcPr>
          <w:p>
            <w:pPr>
              <w:jc w:val="right"/>
              <w:spacing w:after="0"/>
              <w:rPr>
                <w:sz w:val="20"/>
                <w:szCs w:val="20"/>
                <w:color w:val="auto"/>
              </w:rPr>
            </w:pPr>
            <w:r>
              <w:rPr>
                <w:rFonts w:ascii="Arial" w:cs="Arial" w:eastAsia="Arial" w:hAnsi="Arial"/>
                <w:sz w:val="12"/>
                <w:szCs w:val="12"/>
                <w:color w:val="auto"/>
              </w:rPr>
              <w:t>(260)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20" w:type="dxa"/>
            <w:vAlign w:val="bottom"/>
            <w:tcBorders>
              <w:right w:val="single" w:sz="8" w:color="CCEEFF"/>
            </w:tcBorders>
            <w:shd w:val="clear" w:color="auto" w:fill="CCEEFF"/>
          </w:tcPr>
          <w:p>
            <w:pPr>
              <w:spacing w:after="0" w:line="131" w:lineRule="exact"/>
              <w:rPr>
                <w:sz w:val="20"/>
                <w:szCs w:val="20"/>
                <w:color w:val="auto"/>
              </w:rPr>
            </w:pPr>
            <w:r>
              <w:rPr>
                <w:rFonts w:ascii="Arial" w:cs="Arial" w:eastAsia="Arial" w:hAnsi="Arial"/>
                <w:sz w:val="12"/>
                <w:szCs w:val="12"/>
                <w:color w:val="auto"/>
              </w:rPr>
              <w:t>Share of profit from</w:t>
            </w: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 method</w:t>
            </w: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8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8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639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8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gridSpan w:val="2"/>
          </w:tcPr>
          <w:p>
            <w:pPr>
              <w:spacing w:after="0"/>
              <w:rPr>
                <w:sz w:val="20"/>
                <w:szCs w:val="20"/>
                <w:color w:val="auto"/>
              </w:rPr>
            </w:pPr>
            <w:r>
              <w:rPr>
                <w:rFonts w:ascii="Arial" w:cs="Arial" w:eastAsia="Arial" w:hAnsi="Arial"/>
                <w:sz w:val="12"/>
                <w:szCs w:val="12"/>
                <w:color w:val="auto"/>
              </w:rPr>
              <w:t>Net (loss)/income</w:t>
            </w:r>
          </w:p>
        </w:tc>
        <w:tc>
          <w:tcPr>
            <w:tcW w:w="500" w:type="dxa"/>
            <w:vAlign w:val="bottom"/>
          </w:tcPr>
          <w:p>
            <w:pPr>
              <w:jc w:val="right"/>
              <w:spacing w:after="0"/>
              <w:rPr>
                <w:sz w:val="20"/>
                <w:szCs w:val="20"/>
                <w:color w:val="auto"/>
              </w:rPr>
            </w:pPr>
            <w:r>
              <w:rPr>
                <w:rFonts w:ascii="Arial" w:cs="Arial" w:eastAsia="Arial" w:hAnsi="Arial"/>
                <w:sz w:val="12"/>
                <w:szCs w:val="12"/>
                <w:color w:val="auto"/>
              </w:rPr>
              <w:t>(46,837)</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(54,050)</w:t>
            </w:r>
          </w:p>
        </w:tc>
        <w:tc>
          <w:tcPr>
            <w:tcW w:w="700" w:type="dxa"/>
            <w:vAlign w:val="bottom"/>
          </w:tcPr>
          <w:p>
            <w:pPr>
              <w:jc w:val="right"/>
              <w:spacing w:after="0"/>
              <w:rPr>
                <w:sz w:val="20"/>
                <w:szCs w:val="20"/>
                <w:color w:val="auto"/>
              </w:rPr>
            </w:pPr>
            <w:r>
              <w:rPr>
                <w:rFonts w:ascii="Arial" w:cs="Arial" w:eastAsia="Arial" w:hAnsi="Arial"/>
                <w:sz w:val="12"/>
                <w:szCs w:val="12"/>
                <w:color w:val="auto"/>
              </w:rPr>
              <w:t>(40,778)</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(15,457)</w:t>
            </w:r>
          </w:p>
        </w:tc>
        <w:tc>
          <w:tcPr>
            <w:tcW w:w="500" w:type="dxa"/>
            <w:vAlign w:val="bottom"/>
          </w:tcPr>
          <w:p>
            <w:pPr>
              <w:jc w:val="right"/>
              <w:spacing w:after="0"/>
              <w:rPr>
                <w:sz w:val="20"/>
                <w:szCs w:val="20"/>
                <w:color w:val="auto"/>
              </w:rPr>
            </w:pPr>
            <w:r>
              <w:rPr>
                <w:rFonts w:ascii="Arial" w:cs="Arial" w:eastAsia="Arial" w:hAnsi="Arial"/>
                <w:sz w:val="12"/>
                <w:szCs w:val="12"/>
                <w:color w:val="auto"/>
              </w:rPr>
              <w:t>(39,584)</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(25,028)</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(23,784)</w:t>
            </w:r>
          </w:p>
        </w:tc>
        <w:tc>
          <w:tcPr>
            <w:tcW w:w="640" w:type="dxa"/>
            <w:vAlign w:val="bottom"/>
          </w:tcPr>
          <w:p>
            <w:pPr>
              <w:jc w:val="right"/>
              <w:spacing w:after="0"/>
              <w:rPr>
                <w:sz w:val="20"/>
                <w:szCs w:val="20"/>
                <w:color w:val="auto"/>
              </w:rPr>
            </w:pPr>
            <w:r>
              <w:rPr>
                <w:rFonts w:ascii="Arial" w:cs="Arial" w:eastAsia="Arial" w:hAnsi="Arial"/>
                <w:sz w:val="12"/>
                <w:szCs w:val="12"/>
                <w:color w:val="auto"/>
              </w:rPr>
              <w:t>(6,163)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right w:val="single" w:sz="8" w:color="CCEEFF"/>
            </w:tcBorders>
            <w:shd w:val="clear" w:color="auto" w:fill="CCEEFF"/>
          </w:tcPr>
          <w:p>
            <w:pPr>
              <w:spacing w:after="0" w:line="127" w:lineRule="exact"/>
              <w:rPr>
                <w:sz w:val="20"/>
                <w:szCs w:val="20"/>
                <w:color w:val="auto"/>
              </w:rPr>
            </w:pPr>
            <w:r>
              <w:rPr>
                <w:rFonts w:ascii="Arial" w:cs="Arial" w:eastAsia="Arial" w:hAnsi="Arial"/>
                <w:sz w:val="12"/>
                <w:szCs w:val="12"/>
                <w:color w:val="auto"/>
              </w:rPr>
              <w:t>Less: Net loss</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attributable to</w:t>
            </w: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non-controlling</w:t>
            </w: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interests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w:t>
            </w:r>
          </w:p>
        </w:tc>
        <w:tc>
          <w:tcPr>
            <w:tcW w:w="6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(522)</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w:t>
            </w:r>
          </w:p>
        </w:tc>
        <w:tc>
          <w:tcPr>
            <w:tcW w:w="8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w:t>
            </w: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80" w:type="dxa"/>
            <w:vAlign w:val="bottom"/>
            <w:tcBorders>
              <w:left w:val="single" w:sz="8" w:color="CCEEFF"/>
            </w:tcBorders>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Net loss attributable</w:t>
            </w: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Pr>
          <w:p>
            <w:pPr>
              <w:ind w:left="120"/>
              <w:spacing w:after="0"/>
              <w:rPr>
                <w:sz w:val="20"/>
                <w:szCs w:val="20"/>
                <w:color w:val="auto"/>
              </w:rPr>
            </w:pPr>
            <w:r>
              <w:rPr>
                <w:rFonts w:ascii="Arial" w:cs="Arial" w:eastAsia="Arial" w:hAnsi="Arial"/>
                <w:sz w:val="12"/>
                <w:szCs w:val="12"/>
                <w:color w:val="auto"/>
              </w:rPr>
              <w:t>to DSC</w:t>
            </w:r>
          </w:p>
        </w:tc>
        <w:tc>
          <w:tcPr>
            <w:tcW w:w="500" w:type="dxa"/>
            <w:vAlign w:val="bottom"/>
          </w:tcPr>
          <w:p>
            <w:pPr>
              <w:jc w:val="right"/>
              <w:spacing w:after="0"/>
              <w:rPr>
                <w:sz w:val="20"/>
                <w:szCs w:val="20"/>
                <w:color w:val="auto"/>
              </w:rPr>
            </w:pPr>
            <w:r>
              <w:rPr>
                <w:rFonts w:ascii="Arial" w:cs="Arial" w:eastAsia="Arial" w:hAnsi="Arial"/>
                <w:sz w:val="12"/>
                <w:szCs w:val="12"/>
                <w:color w:val="auto"/>
              </w:rPr>
              <w:t>(46,176)</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(53,528)</w:t>
            </w:r>
          </w:p>
        </w:tc>
        <w:tc>
          <w:tcPr>
            <w:tcW w:w="700" w:type="dxa"/>
            <w:vAlign w:val="bottom"/>
          </w:tcPr>
          <w:p>
            <w:pPr>
              <w:jc w:val="right"/>
              <w:spacing w:after="0"/>
              <w:rPr>
                <w:sz w:val="20"/>
                <w:szCs w:val="20"/>
                <w:color w:val="auto"/>
              </w:rPr>
            </w:pPr>
            <w:r>
              <w:rPr>
                <w:rFonts w:ascii="Arial" w:cs="Arial" w:eastAsia="Arial" w:hAnsi="Arial"/>
                <w:sz w:val="12"/>
                <w:szCs w:val="12"/>
                <w:color w:val="auto"/>
              </w:rPr>
              <w:t>(39,707)</w:t>
            </w: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(15,395)</w:t>
            </w:r>
          </w:p>
        </w:tc>
        <w:tc>
          <w:tcPr>
            <w:tcW w:w="500" w:type="dxa"/>
            <w:vAlign w:val="bottom"/>
          </w:tcPr>
          <w:p>
            <w:pPr>
              <w:jc w:val="right"/>
              <w:spacing w:after="0"/>
              <w:rPr>
                <w:sz w:val="20"/>
                <w:szCs w:val="20"/>
                <w:color w:val="auto"/>
              </w:rPr>
            </w:pPr>
            <w:r>
              <w:rPr>
                <w:rFonts w:ascii="Arial" w:cs="Arial" w:eastAsia="Arial" w:hAnsi="Arial"/>
                <w:sz w:val="12"/>
                <w:szCs w:val="12"/>
                <w:color w:val="auto"/>
              </w:rPr>
              <w:t>(38,697)</w:t>
            </w:r>
          </w:p>
        </w:tc>
        <w:tc>
          <w:tcPr>
            <w:tcW w:w="620" w:type="dxa"/>
            <w:vAlign w:val="bottom"/>
            <w:gridSpan w:val="3"/>
          </w:tcPr>
          <w:p>
            <w:pPr>
              <w:jc w:val="right"/>
              <w:ind w:right="40"/>
              <w:spacing w:after="0"/>
              <w:rPr>
                <w:sz w:val="20"/>
                <w:szCs w:val="20"/>
                <w:color w:val="auto"/>
              </w:rPr>
            </w:pPr>
            <w:r>
              <w:rPr>
                <w:rFonts w:ascii="Arial" w:cs="Arial" w:eastAsia="Arial" w:hAnsi="Arial"/>
                <w:sz w:val="12"/>
                <w:szCs w:val="12"/>
                <w:color w:val="auto"/>
              </w:rPr>
              <w:t>(25,928)</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(23,756)</w:t>
            </w:r>
          </w:p>
        </w:tc>
        <w:tc>
          <w:tcPr>
            <w:tcW w:w="640" w:type="dxa"/>
            <w:vAlign w:val="bottom"/>
          </w:tcPr>
          <w:p>
            <w:pPr>
              <w:jc w:val="right"/>
              <w:spacing w:after="0"/>
              <w:rPr>
                <w:sz w:val="20"/>
                <w:szCs w:val="20"/>
                <w:color w:val="auto"/>
              </w:rPr>
            </w:pPr>
            <w:r>
              <w:rPr>
                <w:rFonts w:ascii="Arial" w:cs="Arial" w:eastAsia="Arial" w:hAnsi="Arial"/>
                <w:sz w:val="12"/>
                <w:szCs w:val="12"/>
                <w:color w:val="auto"/>
              </w:rPr>
              <w:t>(6,669)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-3392805</wp:posOffset>
            </wp:positionV>
            <wp:extent cx="2222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225" cy="63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-3392805</wp:posOffset>
            </wp:positionV>
            <wp:extent cx="2222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25" cy="6350"/>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-3115945</wp:posOffset>
            </wp:positionV>
            <wp:extent cx="2222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revenues in the second quarter of 2024 decreased slightly compared to the first quarter of 2024, primarily due to decrease in transaction services resulting from strong demand from OEMs for managing their customer engagement channels during the first quarter of 2024, partially offset by increase in digitalization services. Our revenue decreased in the last quarter of 2024 and decreased significantly in the first quarter of 2025 due to the Disposition in December 2024 as well as the seasonality factors that would affect our revenue in the first quarter of each year.</w:t>
      </w:r>
    </w:p>
    <w:p>
      <w:pPr>
        <w:spacing w:after="0" w:line="55"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cost of revenues decreased on a sequential basis in the second and third quarter of 2024 due to changes in our revenue mix. Our cost of revenue increased in the last quarter of 2024 due to certain one-off expenses incurred in connection with our delivery services. Our cost of revenue further decreased significantly in the first quarter of 2025 due to the Disposition in December 2024. Our cost of sales subsequently increased sequentially for the remainder of 2025.</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2" w:name="page163"/>
    <w:bookmarkEnd w:id="16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Liquidity and Capital Resources</w:t>
      </w:r>
    </w:p>
    <w:p>
      <w:pPr>
        <w:spacing w:after="0" w:line="7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principal sources of liquidity have been cash generated from operating activities, proceeds from short-term loans, equity financing and loans provided by our related parties. As of December 31, 2025, we had RMB178.9 million (US$25.6 million) in cash and cash equivalents. In addition, as of December 31, 2025, in connection with the Disposition in December 2024, we expect to receive remaining RMB103.5 million (US$14.8 million) in cash from the Acquirer.</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While we have historically recorded net losses, we have been able to meet our working capital needs in the past. Most of our historical financing activities were conducted before the Restructuring and the proceeds generated from such financing activities are held by Souche Holdings Ltd. Souche Holdings Ltd has used such proceeds to make interest-free loans to us and our operating entities for us to meet our working capital needs. For more information about the Restructuring, see “Corporate History and Structure.” For more information about the transactions between us and Souche Holdings Ltd, see “Related Party Transactions.” In 2023, 2024 and 2025, Souche Holdings Ltd waived our debts due to Souche Holdings Ltd in a total amount of RMB64.1 million, nil and nil, respectively. In addition, we received an undertaking letter dated April 9, 2026 from certain affiliates of Souche Holdings Ltd, or the Predecessor Entities, pursuant to which the Predecessor Entities have undertaken that (i) they will not request us to repay the loans we borrowed from the Predecessor Entities totaling RMB283.0 million (US$ 40.5 million) within the 18-month period following the date of the undertaking letter; and (ii) they will provide us with the financial support necessary to meet our funding needs arising from our operating, investing and financing activities within the 18-month period following the date of the undertaking letter.</w:t>
      </w:r>
    </w:p>
    <w:p>
      <w:pPr>
        <w:spacing w:after="0" w:line="7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expect to gradually mitigate operating losses in the foreseeable future by achieving economies of scale in our digitalization solutions and transaction services. In addition to financial support from Souche Holdings Ltd, we also plan to continuously fund our operations through public and private equity financings and bank borrowings. In August 2023, we received RMB300 million through our Series G financing. Assuming no triggering of the obligation to redeem preferred shares, which will be extinguished upon the completion of this offering, we believe we will continue to operate with sufficient capital resources in the foreseeable future through our operating cash flow and existing cash balance, support from our affiliates, various public and private financing opportunities, bank financings, as well as the proceeds from this offering.</w:t>
      </w:r>
    </w:p>
    <w:p>
      <w:pPr>
        <w:spacing w:after="0" w:line="84"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From time to time, we may decide to enhance our liquidity position or increase our cash reserve for future expansions and acquisitions through additional capital and/or finance funding. The issuance and sale of additional equity, including convertible debt securities,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 If we are unable to obtain additional equity or debt financing as required, our business operations and prospects may suffer.</w:t>
      </w:r>
    </w:p>
    <w:p>
      <w:pPr>
        <w:spacing w:after="0" w:line="7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Assuming no triggering of the obligation to redeem preferred shares, which will be extinguished upon the completion of this offering, we believe that our existing cash and cash equivalents as of December 31, 2025, as well as funds raised from our financing activities, would be sufficient to fund our continuing operating activities and capital expenditure for at least the next 12 months. The preferred shareholders have the option to request us to redeem their preferred shares at any time after December 31, 2026. Such redemption obligations raise substantial doubt about our ability to continue as a going concern.</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Upon the completion of this offering, the preferred shares will automatically be converted into ordinary shares at the then applicable conversion price, and the redemption obligations will be extinguished.</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As a holding company with no material operations of our own, we conduct a substantial majority of our operations through our PRC subsidiaries and the VIEs and their subsidiaries in China. We are permitted under PRC laws and regulations to provide funding to our PRC subsidiaries in China through capital contributions or loans, subject to applicable approval registration, filings and reporting procedures with government authorities and limits on the amount of capital contributions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3" w:name="page164"/>
    <w:bookmarkEnd w:id="16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and loans. See “Corporate History and Structure — Regulatory Requirements on Foreign Exchange and the Ability to Transfer Cash Between Entities, Across Borders and to U.S. Investors.” The ability of our subsidiaries in China to make dividends or other cash payments to us is subject to various restrictions under PRC laws and regulations. See “Risk Factors — Risks Related to Doing Business in China —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and “— If we are classified as a PRC resident enterprise for PRC enterprise income tax purposes, such classification could result in unfavorable tax consequences to us and our non -PRC shareholders and ADS holders,” and “Regulation — Regulations relating to Foreign Exchange Control — Regulations on Dividend Distribution.”</w:t>
      </w:r>
    </w:p>
    <w:p>
      <w:pPr>
        <w:spacing w:after="0" w:line="5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table sets forth a summary of our cash flows for the years indicated:</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40" w:type="dxa"/>
            <w:vAlign w:val="bottom"/>
            <w:tcBorders>
              <w:bottom w:val="single" w:sz="8" w:color="auto"/>
            </w:tcBorders>
            <w:gridSpan w:val="7"/>
          </w:tcPr>
          <w:p>
            <w:pPr>
              <w:jc w:val="right"/>
              <w:ind w:right="445"/>
              <w:spacing w:after="0"/>
              <w:rPr>
                <w:sz w:val="20"/>
                <w:szCs w:val="20"/>
                <w:color w:val="auto"/>
              </w:rPr>
            </w:pPr>
            <w:r>
              <w:rPr>
                <w:rFonts w:ascii="Arial" w:cs="Arial" w:eastAsia="Arial" w:hAnsi="Arial"/>
                <w:sz w:val="11"/>
                <w:szCs w:val="11"/>
                <w:b w:val="1"/>
                <w:bCs w:val="1"/>
                <w:color w:val="auto"/>
              </w:rPr>
              <w:t>For the Year Ended December 31,</w:t>
            </w:r>
          </w:p>
        </w:tc>
      </w:tr>
      <w:tr>
        <w:trPr>
          <w:trHeight w:val="208"/>
        </w:trPr>
        <w:tc>
          <w:tcPr>
            <w:tcW w:w="3440" w:type="dxa"/>
            <w:vAlign w:val="bottom"/>
          </w:tcPr>
          <w:p>
            <w:pPr>
              <w:spacing w:after="0"/>
              <w:rPr>
                <w:sz w:val="18"/>
                <w:szCs w:val="18"/>
                <w:color w:val="auto"/>
              </w:rPr>
            </w:pPr>
          </w:p>
        </w:tc>
        <w:tc>
          <w:tcPr>
            <w:tcW w:w="700" w:type="dxa"/>
            <w:vAlign w:val="bottom"/>
            <w:gridSpan w:val="2"/>
          </w:tcPr>
          <w:p>
            <w:pPr>
              <w:jc w:val="right"/>
              <w:ind w:right="165"/>
              <w:spacing w:after="0"/>
              <w:rPr>
                <w:sz w:val="20"/>
                <w:szCs w:val="20"/>
                <w:color w:val="auto"/>
              </w:rPr>
            </w:pPr>
            <w:r>
              <w:rPr>
                <w:rFonts w:ascii="Arial" w:cs="Arial" w:eastAsia="Arial" w:hAnsi="Arial"/>
                <w:sz w:val="11"/>
                <w:szCs w:val="11"/>
                <w:b w:val="1"/>
                <w:bCs w:val="1"/>
                <w:color w:val="auto"/>
              </w:rPr>
              <w:t>2023</w:t>
            </w:r>
          </w:p>
        </w:tc>
        <w:tc>
          <w:tcPr>
            <w:tcW w:w="720" w:type="dxa"/>
            <w:vAlign w:val="bottom"/>
            <w:gridSpan w:val="2"/>
          </w:tcPr>
          <w:p>
            <w:pPr>
              <w:jc w:val="right"/>
              <w:ind w:right="145"/>
              <w:spacing w:after="0"/>
              <w:rPr>
                <w:sz w:val="20"/>
                <w:szCs w:val="20"/>
                <w:color w:val="auto"/>
              </w:rPr>
            </w:pPr>
            <w:r>
              <w:rPr>
                <w:rFonts w:ascii="Arial" w:cs="Arial" w:eastAsia="Arial" w:hAnsi="Arial"/>
                <w:sz w:val="11"/>
                <w:szCs w:val="11"/>
                <w:b w:val="1"/>
                <w:bCs w:val="1"/>
                <w:color w:val="auto"/>
              </w:rPr>
              <w:t>2024</w:t>
            </w:r>
          </w:p>
        </w:tc>
        <w:tc>
          <w:tcPr>
            <w:tcW w:w="1360" w:type="dxa"/>
            <w:vAlign w:val="bottom"/>
            <w:gridSpan w:val="4"/>
          </w:tcPr>
          <w:p>
            <w:pPr>
              <w:jc w:val="right"/>
              <w:ind w:right="465"/>
              <w:spacing w:after="0"/>
              <w:rPr>
                <w:sz w:val="20"/>
                <w:szCs w:val="20"/>
                <w:color w:val="auto"/>
              </w:rPr>
            </w:pPr>
            <w:r>
              <w:rPr>
                <w:rFonts w:ascii="Arial" w:cs="Arial" w:eastAsia="Arial" w:hAnsi="Arial"/>
                <w:sz w:val="11"/>
                <w:szCs w:val="11"/>
                <w:b w:val="1"/>
                <w:bCs w:val="1"/>
                <w:color w:val="auto"/>
              </w:rPr>
              <w:t>2025</w:t>
            </w:r>
          </w:p>
        </w:tc>
      </w:tr>
      <w:tr>
        <w:trPr>
          <w:trHeight w:val="198"/>
        </w:trPr>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1"/>
                <w:szCs w:val="11"/>
                <w:b w:val="1"/>
                <w:bCs w:val="1"/>
                <w:color w:val="auto"/>
              </w:rPr>
              <w:t>RMB</w:t>
            </w: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US$</w:t>
            </w:r>
          </w:p>
        </w:tc>
      </w:tr>
      <w:tr>
        <w:trPr>
          <w:trHeight w:val="202"/>
        </w:trPr>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tcPr>
          <w:p>
            <w:pPr>
              <w:jc w:val="right"/>
              <w:ind w:right="105"/>
              <w:spacing w:after="0"/>
              <w:rPr>
                <w:sz w:val="20"/>
                <w:szCs w:val="20"/>
                <w:color w:val="auto"/>
              </w:rPr>
            </w:pPr>
            <w:r>
              <w:rPr>
                <w:rFonts w:ascii="Arial" w:cs="Arial" w:eastAsia="Arial" w:hAnsi="Arial"/>
                <w:sz w:val="11"/>
                <w:szCs w:val="11"/>
                <w:b w:val="1"/>
                <w:bCs w:val="1"/>
                <w:color w:val="auto"/>
              </w:rPr>
              <w:t>(RMB in thousands)</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Summary Combined and Consolidated Statement</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of Cash Flows Data:</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700" w:type="dxa"/>
            <w:vAlign w:val="bottom"/>
            <w:gridSpan w:val="2"/>
          </w:tcPr>
          <w:p>
            <w:pPr>
              <w:jc w:val="right"/>
              <w:ind w:right="5"/>
              <w:spacing w:after="0"/>
              <w:rPr>
                <w:sz w:val="20"/>
                <w:szCs w:val="20"/>
                <w:color w:val="auto"/>
              </w:rPr>
            </w:pPr>
            <w:r>
              <w:rPr>
                <w:rFonts w:ascii="Arial" w:cs="Arial" w:eastAsia="Arial" w:hAnsi="Arial"/>
                <w:sz w:val="14"/>
                <w:szCs w:val="14"/>
                <w:color w:val="auto"/>
              </w:rPr>
              <w:t>(163,412)</w:t>
            </w:r>
          </w:p>
        </w:tc>
        <w:tc>
          <w:tcPr>
            <w:tcW w:w="720" w:type="dxa"/>
            <w:vAlign w:val="bottom"/>
            <w:gridSpan w:val="2"/>
          </w:tcPr>
          <w:p>
            <w:pPr>
              <w:jc w:val="right"/>
              <w:ind w:right="5"/>
              <w:spacing w:after="0"/>
              <w:rPr>
                <w:sz w:val="20"/>
                <w:szCs w:val="20"/>
                <w:color w:val="auto"/>
              </w:rPr>
            </w:pPr>
            <w:r>
              <w:rPr>
                <w:rFonts w:ascii="Arial" w:cs="Arial" w:eastAsia="Arial" w:hAnsi="Arial"/>
                <w:sz w:val="14"/>
                <w:szCs w:val="14"/>
                <w:color w:val="auto"/>
              </w:rPr>
              <w:t>(212,517)</w:t>
            </w:r>
          </w:p>
        </w:tc>
        <w:tc>
          <w:tcPr>
            <w:tcW w:w="680" w:type="dxa"/>
            <w:vAlign w:val="bottom"/>
            <w:gridSpan w:val="2"/>
          </w:tcPr>
          <w:p>
            <w:pPr>
              <w:jc w:val="right"/>
              <w:ind w:right="5"/>
              <w:spacing w:after="0"/>
              <w:rPr>
                <w:sz w:val="20"/>
                <w:szCs w:val="20"/>
                <w:color w:val="auto"/>
              </w:rPr>
            </w:pPr>
            <w:r>
              <w:rPr>
                <w:rFonts w:ascii="Arial" w:cs="Arial" w:eastAsia="Arial" w:hAnsi="Arial"/>
                <w:sz w:val="14"/>
                <w:szCs w:val="14"/>
                <w:color w:val="auto"/>
              </w:rPr>
              <w:t>(90,370)</w:t>
            </w:r>
          </w:p>
        </w:tc>
        <w:tc>
          <w:tcPr>
            <w:tcW w:w="680" w:type="dxa"/>
            <w:vAlign w:val="bottom"/>
            <w:gridSpan w:val="2"/>
          </w:tcPr>
          <w:p>
            <w:pPr>
              <w:jc w:val="right"/>
              <w:ind w:right="5"/>
              <w:spacing w:after="0"/>
              <w:rPr>
                <w:sz w:val="20"/>
                <w:szCs w:val="20"/>
                <w:color w:val="auto"/>
              </w:rPr>
            </w:pPr>
            <w:r>
              <w:rPr>
                <w:rFonts w:ascii="Arial" w:cs="Arial" w:eastAsia="Arial" w:hAnsi="Arial"/>
                <w:sz w:val="14"/>
                <w:szCs w:val="14"/>
                <w:color w:val="auto"/>
              </w:rPr>
              <w:t>(12,926)</w:t>
            </w:r>
          </w:p>
        </w:tc>
      </w:tr>
      <w:tr>
        <w:trPr>
          <w:trHeight w:val="22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in)/provided by investing activities</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(129,834)</w:t>
            </w: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74,481</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rPr>
              <w:t>39,776</w:t>
            </w:r>
          </w:p>
        </w:tc>
        <w:tc>
          <w:tcPr>
            <w:tcW w:w="68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5,690</w:t>
            </w:r>
          </w:p>
        </w:tc>
      </w:tr>
      <w:tr>
        <w:trPr>
          <w:trHeight w:val="200"/>
        </w:trPr>
        <w:tc>
          <w:tcPr>
            <w:tcW w:w="344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700" w:type="dxa"/>
            <w:vAlign w:val="bottom"/>
            <w:gridSpan w:val="2"/>
          </w:tcPr>
          <w:p>
            <w:pPr>
              <w:jc w:val="right"/>
              <w:ind w:right="65"/>
              <w:spacing w:after="0"/>
              <w:rPr>
                <w:sz w:val="20"/>
                <w:szCs w:val="20"/>
                <w:color w:val="auto"/>
              </w:rPr>
            </w:pPr>
            <w:r>
              <w:rPr>
                <w:rFonts w:ascii="Arial" w:cs="Arial" w:eastAsia="Arial" w:hAnsi="Arial"/>
                <w:sz w:val="14"/>
                <w:szCs w:val="14"/>
                <w:color w:val="auto"/>
              </w:rPr>
              <w:t>428,092</w:t>
            </w:r>
          </w:p>
        </w:tc>
        <w:tc>
          <w:tcPr>
            <w:tcW w:w="720" w:type="dxa"/>
            <w:vAlign w:val="bottom"/>
            <w:gridSpan w:val="2"/>
          </w:tcPr>
          <w:p>
            <w:pPr>
              <w:jc w:val="right"/>
              <w:ind w:right="45"/>
              <w:spacing w:after="0"/>
              <w:rPr>
                <w:sz w:val="20"/>
                <w:szCs w:val="20"/>
                <w:color w:val="auto"/>
              </w:rPr>
            </w:pPr>
            <w:r>
              <w:rPr>
                <w:rFonts w:ascii="Arial" w:cs="Arial" w:eastAsia="Arial" w:hAnsi="Arial"/>
                <w:sz w:val="14"/>
                <w:szCs w:val="14"/>
                <w:color w:val="auto"/>
              </w:rPr>
              <w:t>51,726</w:t>
            </w:r>
          </w:p>
        </w:tc>
        <w:tc>
          <w:tcPr>
            <w:tcW w:w="680" w:type="dxa"/>
            <w:vAlign w:val="bottom"/>
            <w:gridSpan w:val="2"/>
          </w:tcPr>
          <w:p>
            <w:pPr>
              <w:jc w:val="right"/>
              <w:ind w:right="65"/>
              <w:spacing w:after="0"/>
              <w:rPr>
                <w:sz w:val="20"/>
                <w:szCs w:val="20"/>
                <w:color w:val="auto"/>
              </w:rPr>
            </w:pPr>
            <w:r>
              <w:rPr>
                <w:rFonts w:ascii="Arial" w:cs="Arial" w:eastAsia="Arial" w:hAnsi="Arial"/>
                <w:sz w:val="14"/>
                <w:szCs w:val="14"/>
                <w:color w:val="auto"/>
              </w:rPr>
              <w:t>15,635</w:t>
            </w:r>
          </w:p>
        </w:tc>
        <w:tc>
          <w:tcPr>
            <w:tcW w:w="680" w:type="dxa"/>
            <w:vAlign w:val="bottom"/>
            <w:gridSpan w:val="2"/>
          </w:tcPr>
          <w:p>
            <w:pPr>
              <w:jc w:val="right"/>
              <w:ind w:right="45"/>
              <w:spacing w:after="0"/>
              <w:rPr>
                <w:sz w:val="20"/>
                <w:szCs w:val="20"/>
                <w:color w:val="auto"/>
              </w:rPr>
            </w:pPr>
            <w:r>
              <w:rPr>
                <w:rFonts w:ascii="Arial" w:cs="Arial" w:eastAsia="Arial" w:hAnsi="Arial"/>
                <w:sz w:val="14"/>
                <w:szCs w:val="14"/>
                <w:color w:val="auto"/>
              </w:rPr>
              <w:t>2,237</w:t>
            </w:r>
          </w:p>
        </w:tc>
      </w:tr>
      <w:tr>
        <w:trPr>
          <w:trHeight w:val="155"/>
        </w:trPr>
        <w:tc>
          <w:tcPr>
            <w:tcW w:w="34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9"/>
              </w:rPr>
              <w:t>Net change in cash and cash equivalents and restricted</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70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rPr>
              <w:t>133,655</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(85,145)</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(36,653)</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(5,241)</w:t>
            </w:r>
          </w:p>
        </w:tc>
      </w:tr>
      <w:tr>
        <w:trPr>
          <w:trHeight w:val="137"/>
        </w:trPr>
        <w:tc>
          <w:tcPr>
            <w:tcW w:w="3440" w:type="dxa"/>
            <w:vAlign w:val="bottom"/>
          </w:tcPr>
          <w:p>
            <w:pPr>
              <w:spacing w:after="0" w:line="137" w:lineRule="exact"/>
              <w:rPr>
                <w:sz w:val="20"/>
                <w:szCs w:val="20"/>
                <w:color w:val="auto"/>
              </w:rPr>
            </w:pPr>
            <w:r>
              <w:rPr>
                <w:rFonts w:ascii="Arial" w:cs="Arial" w:eastAsia="Arial" w:hAnsi="Arial"/>
                <w:sz w:val="14"/>
                <w:szCs w:val="14"/>
                <w:color w:val="auto"/>
              </w:rPr>
              <w:t>Cash, cash equivalents and restricted cash at the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87"/>
        </w:trPr>
        <w:tc>
          <w:tcPr>
            <w:tcW w:w="3440" w:type="dxa"/>
            <w:vAlign w:val="bottom"/>
          </w:tcPr>
          <w:p>
            <w:pPr>
              <w:ind w:left="140"/>
              <w:spacing w:after="0"/>
              <w:rPr>
                <w:sz w:val="20"/>
                <w:szCs w:val="20"/>
                <w:color w:val="auto"/>
              </w:rPr>
            </w:pPr>
            <w:r>
              <w:rPr>
                <w:rFonts w:ascii="Arial" w:cs="Arial" w:eastAsia="Arial" w:hAnsi="Arial"/>
                <w:sz w:val="14"/>
                <w:szCs w:val="14"/>
                <w:color w:val="auto"/>
              </w:rPr>
              <w:t>beginning of the year</w:t>
            </w:r>
          </w:p>
        </w:tc>
        <w:tc>
          <w:tcPr>
            <w:tcW w:w="700" w:type="dxa"/>
            <w:vAlign w:val="bottom"/>
            <w:gridSpan w:val="2"/>
          </w:tcPr>
          <w:p>
            <w:pPr>
              <w:jc w:val="right"/>
              <w:ind w:right="65"/>
              <w:spacing w:after="0"/>
              <w:rPr>
                <w:sz w:val="20"/>
                <w:szCs w:val="20"/>
                <w:color w:val="auto"/>
              </w:rPr>
            </w:pPr>
            <w:r>
              <w:rPr>
                <w:rFonts w:ascii="Arial" w:cs="Arial" w:eastAsia="Arial" w:hAnsi="Arial"/>
                <w:sz w:val="14"/>
                <w:szCs w:val="14"/>
                <w:color w:val="auto"/>
              </w:rPr>
              <w:t>168,152</w:t>
            </w:r>
          </w:p>
        </w:tc>
        <w:tc>
          <w:tcPr>
            <w:tcW w:w="720" w:type="dxa"/>
            <w:vAlign w:val="bottom"/>
            <w:gridSpan w:val="2"/>
          </w:tcPr>
          <w:p>
            <w:pPr>
              <w:jc w:val="right"/>
              <w:ind w:right="45"/>
              <w:spacing w:after="0"/>
              <w:rPr>
                <w:sz w:val="20"/>
                <w:szCs w:val="20"/>
                <w:color w:val="auto"/>
              </w:rPr>
            </w:pPr>
            <w:r>
              <w:rPr>
                <w:rFonts w:ascii="Arial" w:cs="Arial" w:eastAsia="Arial" w:hAnsi="Arial"/>
                <w:sz w:val="14"/>
                <w:szCs w:val="14"/>
                <w:color w:val="auto"/>
              </w:rPr>
              <w:t>301,807</w:t>
            </w:r>
          </w:p>
        </w:tc>
        <w:tc>
          <w:tcPr>
            <w:tcW w:w="680" w:type="dxa"/>
            <w:vAlign w:val="bottom"/>
            <w:gridSpan w:val="2"/>
          </w:tcPr>
          <w:p>
            <w:pPr>
              <w:jc w:val="right"/>
              <w:ind w:right="65"/>
              <w:spacing w:after="0"/>
              <w:rPr>
                <w:sz w:val="20"/>
                <w:szCs w:val="20"/>
                <w:color w:val="auto"/>
              </w:rPr>
            </w:pPr>
            <w:r>
              <w:rPr>
                <w:rFonts w:ascii="Arial" w:cs="Arial" w:eastAsia="Arial" w:hAnsi="Arial"/>
                <w:sz w:val="14"/>
                <w:szCs w:val="14"/>
                <w:color w:val="auto"/>
              </w:rPr>
              <w:t>216,662</w:t>
            </w:r>
          </w:p>
        </w:tc>
        <w:tc>
          <w:tcPr>
            <w:tcW w:w="680" w:type="dxa"/>
            <w:vAlign w:val="bottom"/>
            <w:gridSpan w:val="2"/>
          </w:tcPr>
          <w:p>
            <w:pPr>
              <w:jc w:val="right"/>
              <w:ind w:right="45"/>
              <w:spacing w:after="0"/>
              <w:rPr>
                <w:sz w:val="20"/>
                <w:szCs w:val="20"/>
                <w:color w:val="auto"/>
              </w:rPr>
            </w:pPr>
            <w:r>
              <w:rPr>
                <w:rFonts w:ascii="Arial" w:cs="Arial" w:eastAsia="Arial" w:hAnsi="Arial"/>
                <w:sz w:val="14"/>
                <w:szCs w:val="14"/>
                <w:color w:val="auto"/>
              </w:rPr>
              <w:t>30,982</w:t>
            </w:r>
          </w:p>
        </w:tc>
      </w:tr>
      <w:tr>
        <w:trPr>
          <w:trHeight w:val="155"/>
        </w:trPr>
        <w:tc>
          <w:tcPr>
            <w:tcW w:w="34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 at the end</w:t>
            </w: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0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the year</w:t>
            </w:r>
          </w:p>
        </w:tc>
        <w:tc>
          <w:tcPr>
            <w:tcW w:w="70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rPr>
              <w:t>301,807</w:t>
            </w: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216,662</w:t>
            </w:r>
          </w:p>
        </w:tc>
        <w:tc>
          <w:tcPr>
            <w:tcW w:w="68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rPr>
              <w:t>180,009</w:t>
            </w:r>
          </w:p>
        </w:tc>
        <w:tc>
          <w:tcPr>
            <w:tcW w:w="68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25,741</w:t>
            </w:r>
          </w:p>
        </w:tc>
      </w:tr>
    </w:tbl>
    <w:p>
      <w:pPr>
        <w:spacing w:after="0" w:line="11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Our net cash used in operating activities was RMB90.4 million (US$12.9 million) in 2025. This amount was attributable to net loss of RMB94.6 million (US$13.5 million) in the period adjusted for certain non-cash items, primarily consisting of: (i) depreciation and amortization of RMB26.1 million (US$3.7 million); and (ii) changes in operating assets and liabilities that affected operating cash flows, primarily consisting of (a) a decrease in amounts due to related parties of RMB53.4 million (US$7.6 million) due to the settlement of certain amounts relating to sales promotion services and other management and administrative support provided by Souche Holdings Ltd, (b) a decrease in amounts due from related parties of RMB21.1 million (US$3.0 million) due to the settlement of certain amounts relating to the delivery services, financial product referral services, used car inspection and certification services and other management and administrative support provided to Souche Holdings Ltd and (c) a decrease in contract assets of RMB18.8 million (US$2.7 million) due to settlement of projects with OEM customers.</w:t>
      </w:r>
    </w:p>
    <w:p>
      <w:pPr>
        <w:spacing w:after="0" w:line="80"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net cash used in operating activities was RMB212.5 million in 2024. This amount was attributable to net loss of RMB157.1 million in the period adjusted for certain non-cash items, primarily consisting of (i) depreciation and amortization of RMB26.5 million; (ii) gain from disposal of subsidiaries and long-term investment of RMB29.0 million; (iii) provision of allowance for expected credit losses of RMB4.3 million; and (iv) changes in certain operating assets and liabilities that affected operating cash flows, primarily consisting of (a) a decrease in accounts receivable of RMB55.4 million resulting from better management of accounts receivable and enhanced collection efforts and (b) an increase in accounts payable of RMB27.0 million due to an increase in payables to third-party service providers to support our overall business growth and longer credit cycles granted by certain of our suppliers, partially offset by an increase in prepaid expenses and other</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4" w:name="page165"/>
    <w:bookmarkEnd w:id="16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current assets of RMB51.5 million due to the increased costs in relation to the resources invested for providing customer engagement solutions to the OEMs as well as listing fees in relation to this offering, and an increase in contract assets of RMB45.6 million resulting from an increase in un-invoiced fees from single car delivery services as such services expanded.</w:t>
      </w:r>
    </w:p>
    <w:p>
      <w:pPr>
        <w:spacing w:after="0" w:line="79"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Our net cash used in operating activities was RMB163.4 million in 2023. This amount was primarily attributable to net loss of RMB186.6 million in the year adjusted for certain non-cash items, primarily consisting of: (i) depreciation and amortization of RMB34.5 million; (ii) provision of allowance for credit losses of RMB7.1 million; (iii) dividend from equity method investment of RMB4.1 million; and (iv) changes in certain operating assets and liabilities that affected operating cash flows, primarily consisting of (a) an increase in accounts receivables of RMB43.9 million driven by our overall business growth, (b) an increase in contract assets of RMB25.0 million due to new projects with OEM customers and (c) an increase in other non-current assets of RMB6.0 million resulting from increased deposits paid to third parties to support our business growth, partially offset by a decrease in amounts due from related parties of RMB32.4 million due to the settlement of certain amounts relating to the delivery services, financial product referral services, used car inspection and certification services and other management and administrative support provided to Souche Holdings Ltd, a decrease in prepaid expenses and other current assets of RMB13.6 million due to the decreased deposit payments associated with certain businesses that we have strategically discontinued, an increase in accounts payable of RMB7.5 million resulting from an increase in payables to third-party service providers to support our overall business growth and an increase in accrued expenses and other current liabilities of RMB6.6 million resulting from our overall business growth.</w:t>
      </w:r>
    </w:p>
    <w:p>
      <w:pPr>
        <w:spacing w:after="0" w:line="29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cash used in investing activities is primarily related to purchase of fixed assets, purchases of short-term investment, acquisition of long-term investment and disposal of subsidiaries. Our short-term investments mainly include investments in short-term wealth management products offered by financial institutions in the PRC.</w:t>
      </w:r>
    </w:p>
    <w:p>
      <w:pPr>
        <w:spacing w:after="0" w:line="69"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Our net cash provided by investing activities was RMB39.8 million (US$5.7 million) in 2025, which was primarily attributable to proceeds from disposal of subsidiaries of RMB78.5 million (US$11.2 million), partially offset by purchase of short-term investments of RMB31.7 million (US$4.5 million).</w:t>
      </w:r>
    </w:p>
    <w:p>
      <w:pPr>
        <w:spacing w:after="0" w:line="5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net cash provided by investing activities was RMB74.5 million in 2024, which was primarily attributable to the proceeds from maturity of short-term investment of RMB130.3 million, partially offset by cash disposed related to the disposal of subsidiaries of RMB56.5 million.</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net cash used in investing activities was RMB129.8 million in 2023, which was primarily attributable to purchases of short-term investments of RMB230.0 million, partially offset by proceeds from maturity of short-term investments of RMB100.0 million.</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financing activities primarily consisted of contributions from shareholders and proceeds from short-term loans.</w:t>
      </w:r>
    </w:p>
    <w:p>
      <w:pPr>
        <w:spacing w:after="0" w:line="5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Net cash flow provided by financing activities was RMB15.6 million (US$2.2 million) in 2025, which was primarily due to proceeds from short-term loans provided by third parties of RMB210.6 million (US$30.1 million), partially offset by repayment of short-term loans provided by third parties of RMB196.8 million (US$28.1 million).</w:t>
      </w:r>
    </w:p>
    <w:p>
      <w:pPr>
        <w:spacing w:after="0" w:line="7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Net cash flow provided by financing activities was RMB51.7 million in 2024, which was primarily attributable to proceeds from short-term loans provided by third parties of RMB168.0 million, partially offset by repayment of short-term loans provided by third parties of RMB109.5 million.</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5" w:name="page166"/>
    <w:bookmarkEnd w:id="16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Net cash flow provided by financing activities was RMB428.1 million in 2023, which was primarily due to proceeds from issuance of preferred shares of RMB300.0 million, proceeds from short-term loans provided by third parties of RMB179.0 million and proceeds from loans provided by Souche Holdings Ltd of RMB137.7 million, partially offset by repayment of short-term loans provided by third parties of RMB150.0 million and repayments of short-term loans provided by related parties of RMB30.0 million and a decrease of RMB9.0 million from payment of deferred IPO costs.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Capital Expenditures</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capital expenditures were incurred primarily in connection with purchases of fixed assets. Our capital expenditures were RMB3.3 million, RMB2.5 million and RMB2.9 million (US$ 0.4 million) in 2023, 2024 and 2025, respectively. We will continue to make capital expenditures to meet the expected growth of our operations and expect that cash generated from our operating activities and financing activities will continue to meet our capital expenditure needs in the foreseeable future.</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Material Cash Requirements</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Other than the ordinary cash requirements for our operations and capital expenditures, our material cash requirements as of December 31, 2025 primarily include our contractual obligations.</w:t>
      </w:r>
    </w:p>
    <w:p>
      <w:pPr>
        <w:spacing w:after="0" w:line="6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table sets forth our contractual obligations as of December 31, 2025:</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462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1"/>
                <w:szCs w:val="11"/>
                <w:b w:val="1"/>
                <w:bCs w:val="1"/>
                <w:color w:val="auto"/>
              </w:rPr>
              <w:t>Operating leases</w:t>
            </w:r>
          </w:p>
        </w:tc>
      </w:tr>
      <w:tr>
        <w:trPr>
          <w:trHeight w:val="208"/>
        </w:trPr>
        <w:tc>
          <w:tcPr>
            <w:tcW w:w="46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US$</w:t>
            </w:r>
          </w:p>
        </w:tc>
      </w:t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4"/>
                <w:szCs w:val="14"/>
                <w:color w:val="auto"/>
              </w:rPr>
              <w:t>2026</w:t>
            </w:r>
          </w:p>
        </w:tc>
        <w:tc>
          <w:tcPr>
            <w:tcW w:w="720" w:type="dxa"/>
            <w:vAlign w:val="bottom"/>
          </w:tcPr>
          <w:p>
            <w:pPr>
              <w:jc w:val="right"/>
              <w:spacing w:after="0"/>
              <w:rPr>
                <w:sz w:val="20"/>
                <w:szCs w:val="20"/>
                <w:color w:val="auto"/>
              </w:rPr>
            </w:pPr>
            <w:r>
              <w:rPr>
                <w:rFonts w:ascii="Arial" w:cs="Arial" w:eastAsia="Arial" w:hAnsi="Arial"/>
                <w:sz w:val="14"/>
                <w:szCs w:val="14"/>
                <w:color w:val="auto"/>
              </w:rPr>
              <w:t>5,271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754</w:t>
            </w:r>
          </w:p>
        </w:tc>
      </w:tr>
      <w:tr>
        <w:trPr>
          <w:trHeight w:val="227"/>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204"/>
        </w:trPr>
        <w:tc>
          <w:tcPr>
            <w:tcW w:w="4620" w:type="dxa"/>
            <w:vAlign w:val="bottom"/>
          </w:tcPr>
          <w:p>
            <w:pPr>
              <w:spacing w:after="0"/>
              <w:rPr>
                <w:sz w:val="20"/>
                <w:szCs w:val="20"/>
                <w:color w:val="auto"/>
              </w:rPr>
            </w:pPr>
            <w:r>
              <w:rPr>
                <w:rFonts w:ascii="Arial" w:cs="Arial" w:eastAsia="Arial" w:hAnsi="Arial"/>
                <w:sz w:val="14"/>
                <w:szCs w:val="14"/>
                <w:color w:val="auto"/>
              </w:rPr>
              <w:t>2028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4,153</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r>
      <w:tr>
        <w:trPr>
          <w:trHeight w:val="231"/>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future lease payments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14,446</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2,066</w:t>
            </w:r>
          </w:p>
        </w:tc>
      </w:tr>
      <w:tr>
        <w:trPr>
          <w:trHeight w:val="164"/>
        </w:trPr>
        <w:tc>
          <w:tcPr>
            <w:tcW w:w="4620" w:type="dxa"/>
            <w:vAlign w:val="bottom"/>
          </w:tcPr>
          <w:p>
            <w:pPr>
              <w:spacing w:after="0"/>
              <w:rPr>
                <w:sz w:val="20"/>
                <w:szCs w:val="20"/>
                <w:color w:val="auto"/>
              </w:rPr>
            </w:pPr>
            <w:r>
              <w:rPr>
                <w:rFonts w:ascii="Arial" w:cs="Arial" w:eastAsia="Arial" w:hAnsi="Arial"/>
                <w:sz w:val="14"/>
                <w:szCs w:val="14"/>
                <w:color w:val="auto"/>
              </w:rPr>
              <w:t>Less: Imputed interest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231"/>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lease liability balance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13,439</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1,922</w:t>
            </w:r>
          </w:p>
        </w:tc>
      </w:tr>
    </w:tbl>
    <w:p>
      <w:pPr>
        <w:spacing w:after="0" w:line="12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Our primary operating lease obligations are composed of office and warehouse rent expenses.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Except for those disclosed above, we did not have any significant capital or other commitments, long-term obligations, or guarantees as of December 31, 2025.</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Off-Balance Sheet Commitments and Arrangements</w:t>
      </w:r>
    </w:p>
    <w:p>
      <w:pPr>
        <w:spacing w:after="0" w:line="10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Other than operating lease obligations set forth in the table under the caption “Material Cash Requirements”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uncombined or unconsolidated entity that serves as credit, liquidity or market risk support to such entity. We do not have any variable interest in any uncombined or unconsolidated entity that provides financing, liquidity, market risk or credit support to us or engages in leasing, hedging or research and development services with us.</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Holding Company Structure</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are a holding company with no material operations of our own. We conduct our operations primarily through our subsidiaries in China. As a result, our ability to pay dividends and to finance any debt we may incur depends upon dividends paid by our subsidiaries. If our subsidiaries or any newly formed subsidiaries incur debt on their own behalf in the future, the instruments governing their debt may restrict their ability to pay dividends to us.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6" w:name="page167"/>
    <w:bookmarkEnd w:id="16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our subsidiaries that are foreign investment enterprises in the PRC have to make appropriations from their after-tax profit, as determined under PRC GAAP, to reserve funds including (i) a general reserve fund, (ii) an enterprise expansion fund and (iii) a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is at our subsidiaries’ discretion.</w:t>
      </w:r>
    </w:p>
    <w:p>
      <w:pPr>
        <w:spacing w:after="0" w:line="5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As an offshore holding company, we are permitted under PRC laws and regulations to provide funding from the proceeds of our offshore fundraising activities to our PRC subsidiaries only through loans or capital contributions, and to our combined or consolidated affiliated entities only through loans, in each case subject to the satisfaction of the applicable government registration, reporting, filing and approval requirements. See “Risk Factors — Risks Related to Doing Business in China — PRC regulation of loans to and direct investment in PRC entities by offshore holding companies and regulatory restriction of currency conversion may restrict or delay us from using the proceeds of this offering to make loans or additional capital contributions to our PRC subsidiaries, which could adversely affect our liquidity and our ability to fund and expand our business.” As a result, there is uncertainty with respect to our ability to provide prompt financial support to our PRC subsidiaries and the VIEs when needed. Notwithstanding the foregoing, our PRC subsidiaries may use their own retained earnings (rather than Renminbi converted from foreign currency denominated capital) to provide financial support to our combined or consolidated affiliated entities either through entrustment loans from our PRC subsidiaries to the VIEs or direct loans to such combined or consolidated affiliated entity’s nominee shareholders, which would be contributed to the combined or consolidated variable entity as capital injections. Such direct loans to the nominee shareholders would be eliminated in our combined and consolidated financial statements against the combined or consolidated affiliated entity’s share capital.</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Prior to this offering, we were a private company with limited accounting and financial reporting personnel and other resources to address our internal controls and procedures. In connection with the audits of our financial statements included in this prospectus,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3"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material weakness identified relates to the lack of sufficient accounting and financial reporting personnel with requisite knowledge, skills and experience in application of U.S. GAAP and SEC reporting requirements.</w:t>
      </w:r>
    </w:p>
    <w:p>
      <w:pPr>
        <w:spacing w:after="0" w:line="4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are in the process of implementing a number of measures to address the material weakness identified,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and (iii) enhancing our existing accounting policy manual for period-end closing processes to ensure the accuracy and completeness of our financial statements and related disclosures.</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7" w:name="page168"/>
    <w:bookmarkEnd w:id="16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reporting system that is adequate to satisfy our reporting obligation. See “Risk Factors — Risks Relating to Our Business and Industry — If we fail to implement and maintain an effective system of internal control over financial reporting, we may be unable to accurately report our results of operations, meet our reporting obligations or prevent fraud, and investor confidence and the market price of our ADSs may be materially and adversely affected.”</w:t>
      </w:r>
    </w:p>
    <w:p>
      <w:pPr>
        <w:spacing w:after="0" w:line="74"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As of December 31, 2025, we had a total of 49 employees in our finance department as well as an internal control team, consisting of three members including a senior director who has prior audit work experience of U.S. -listed companies, that is responsible for overseeing the establishment of the internal control system of our company, the formulation and implementation of internal control process, and the identification and resolution of key issues and risk management relating to internal control. We have hired a financial manager for our finance department with over ten years of prior work experience in finance departments of different enterprises, including work experience with a U.S.-listed company. In addition, we have hired three employees dedicated to the preparation of financial statements and SEC reporting, all of whom have prior work experience in audit firms. We plan to recruit additional employees with strong knowledge and experience in U.S. GAAP accounting and SEC reporting and who can assist us in the preparation of financial statements and SEC reporting. In 2025, we further refined and upgraded our accounting and financial reporting framework in accordance with U.S. GAAP accounting and SEC reporting requirements. We will also continue to provide our accounting and financial reporting staff with extensive training resources, including organizing regular internal training sessions related to U.S. GAAP and SEC reporting matters.</w:t>
      </w:r>
    </w:p>
    <w:p>
      <w:pPr>
        <w:spacing w:after="0" w:line="75"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In addition to increasing the depth and experience within our accounting and finance team, we plan to adopt additional measures that will improve our internal control over financial reporting, including designing and implementing improved processes and internal controls. For instance, we have implemented key financial statement and reporting controls which address the preparation and review of our financial statements and footnote disclosures. Our internal control team has consistently evaluated and recommended improvements to internal control processes across various departments, further enhancing our internal control framework. We are planning to conduct an assessment of our internal control gaps by specialized consultants and will adopt the processes and control enhancements arising from this assessment. Because such remediation measures have not been fully implemented, our management concluded that the material weakness still existed as of December 31, 2025. We expect to complete our assessment and control enhancements by the end of 2026.</w:t>
      </w:r>
    </w:p>
    <w:p>
      <w:pPr>
        <w:spacing w:after="0" w:line="90"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Additionally, we have implemented various entity level controls and will continue enhancing them including but not limited to enhancing employee conduct policies and whistleblower reporting policies and identifying qualified personnel who will serve as independent directors on our audit committee, which will be completed by the time of this listing. Furthermore, we also expect to adopt measures to improve internal control over financial reporting, including, among others, creating a U.S. GAAP accounting and reporting policies and procedures manual, which will be maintained, reviewed and updated on a regular basis, to the latest U.S. GAAP accounting standards.</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Despite the above-mentioned measures, we cannot assure you that our efforts will be effective or prevent any future material weakness or significant deficiency in our internal control over financial reporting. Moreover, while we currently do not expect that the costs to remediate these material weaknesses will adversely affect our business, we may incur additional expenses in future that may adversely affect our business.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a company with less than US$1.235 billion in revenue for fiscal year of 2025,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 -Oxley Act of 2002 in the assessment of the emerging growth company’s internal control over financial reporting.</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8" w:name="page169"/>
    <w:bookmarkEnd w:id="16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Quantitative and Qualitative Disclosure about Market Risk</w:t>
      </w:r>
    </w:p>
    <w:p>
      <w:pPr>
        <w:spacing w:after="0" w:line="13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exposure to interest rate risk primarily relates to the interest income generated by excess cash invested in liquid investments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1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Foreign Exchange Risk</w:t>
      </w:r>
    </w:p>
    <w:p>
      <w:pPr>
        <w:spacing w:after="0" w:line="9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All of our revenues and most of our expenses are denominated in RMB. Our exposure to foreign exchange risk primarily relates to cash and cash equivalents denominated in U.S. dollars as a result of net proceeds from this offering.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the ADSs will be affected by the exchange rate between U.S. dollar and RMB because the value of our business is effectively denominated in RMB, while the ADSs representing our ordinary shares will be traded in U.S. dollars.</w:t>
      </w:r>
    </w:p>
    <w:p>
      <w:pPr>
        <w:spacing w:after="0" w:line="8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value of the RMB against the U.S. dollar and other currencies is affected by, among other things, changes in China’s political and economic conditions. The RMB does not fluctuate with the U.S. dollar. Although the People’s Bank of China regularly monitors the foreign exchange market to prevent significant short-term fluctuations in the exchange rate, the RMB may appreciate or depreciate significantly in value against the U.S. dollar in the medium to long term.</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estimate that we will receive net proceeds of approximately US$39.1 million from this offering, after deducting underwriting discounts and commissions and the estimated offering expenses, based on the initial offering price of US$17.0 per ADS, assuming the underwriters do not exercise their option to purchase additional ADSs.</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As of December 31, 2025, we had RMB-denominated cash and cash equivalents of RMB178.9 million (US$25.6 million). A 10% depreciation of RMB against the U.S. dollar based on the foreign exchange rate on December 31, 2025 would result in a decrease of US$2.3 million in cash and cash equivalents. A 10% appreciation of RMB against the U.S. dollar based on the foreign exchange rate on December 31, 2025 would result in an increase of US$2.8 million in cash and cash equivalents.</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Inflation Risk</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Since our inception, inflation in China has not materially impacted our results of operations. According to the National Bureau of Statistics of China, the year-over-year percent changes in the consumer price index for 2023, 2024 and 2025 were increases of -0.3%, 0.1% and 0.8%, respectively. Although we have not in the past been materially affected by inflation since our inception, we can provide no assurance that we will not be affected in the future by higher rates of inflation in China.</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69" w:name="page170"/>
    <w:bookmarkEnd w:id="16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INDUSTRY</w:t>
      </w:r>
    </w:p>
    <w:p>
      <w:pPr>
        <w:spacing w:after="0" w:line="100"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i w:val="1"/>
          <w:iCs w:val="1"/>
          <w:color w:val="auto"/>
        </w:rPr>
        <w:t>Unless otherwise noted, all the information and data presented in this section, and certain information, including statistics and estimates, set forth elsewhere in this prospectus has been derived from an industry report commissioned by us and independently prepared by CIC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Automotive Industry in China</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Overview of China’s Automotive Industry</w:t>
      </w:r>
    </w:p>
    <w:p>
      <w:pPr>
        <w:spacing w:after="0" w:line="107" w:lineRule="exact"/>
        <w:rPr>
          <w:sz w:val="20"/>
          <w:szCs w:val="20"/>
          <w:color w:val="auto"/>
        </w:rPr>
      </w:pPr>
    </w:p>
    <w:p>
      <w:pPr>
        <w:jc w:val="both"/>
        <w:ind w:left="1420" w:right="1398" w:firstLine="249"/>
        <w:spacing w:after="0" w:line="310" w:lineRule="auto"/>
        <w:rPr>
          <w:sz w:val="20"/>
          <w:szCs w:val="20"/>
          <w:color w:val="auto"/>
        </w:rPr>
      </w:pPr>
      <w:r>
        <w:rPr>
          <w:rFonts w:ascii="Arial" w:cs="Arial" w:eastAsia="Arial" w:hAnsi="Arial"/>
          <w:sz w:val="13"/>
          <w:szCs w:val="13"/>
          <w:color w:val="auto"/>
        </w:rPr>
        <w:t>China became the world’s largest automotive market with a total car parc of 320.5 million in 2025, surpassing the U.S. which had a total car parc of 255.1 million in the same year, according to CIC.</w:t>
      </w:r>
    </w:p>
    <w:p>
      <w:pPr>
        <w:spacing w:after="0" w:line="3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Despite its massive scale, China’s car parc is expected to continue to grow significantly due to the low level of car ownership relative to its population. Car ownership per 1,000 persons was 228 in China in 2025, compared to 761 in the U.S. in the same year, according to CIC. This number is expected to reach 274 in 2030, representing a CAGR of 3.7% as compared to 2025, according to CIC. CIC expects China’s total car parc to reach 382.1 million by 2030, representing a CAGR of 3.6% from 2025 to 2030.</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China’s growing car parc is expected to drive growth in both new car and used car markets. China’s new car sales volume reached 30.1 million in 2025 and is expected to further increase to 37.9 million in 2030, representing a CAGR of 4.7% from 2025 to 2030. China’s used car sales volume reached 15.2 million in 2025 and is expected to increase to 21.2 million in 2030, representing an even higher CAGR of 6.8% for the same period, according to CIC.</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Auto Commerce — Key Participants and Key Services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China’s impressive car sales volumes are achieved by its auto merchants, namely, the enterprises and individuals who engage in the buying and/or selling of cars, whether new or used.</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“Auto merchants” in the used car sector consist primarily of (i) used car dealers, i.e., individuals or entities whose business is buying used cars from various sources, such as from car owners and other dealers, and selling used cars to consumers for a profit, and (ii) authorized dealers who receive a large number of used cars for trade-in for new cars they sell. In the new car sector, “auto merchants” include OEMs, authorized dealers, and new car brokers. For details, see “— China’s Used Car Market — Key Participants and Key Services of China’s Used Car Market — Key Participants” and “— China’s New Car Market — Key Participants and Key Services of China’s New Car Market — Key Participants.”</w:t>
      </w:r>
    </w:p>
    <w:p>
      <w:pPr>
        <w:spacing w:after="0" w:line="7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Auto merchants in China cannot successfully conduct their businesses without key services provided by various other industry participants — referred to as auto merchants’ “collaborators”— due to the inherent complexity of automotive transactions. These key services can be divided into two categories: (i) digitalization solutions; and (ii) transactions services.</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0" w:name="page171"/>
    <w:bookmarkEnd w:id="17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1" w:lineRule="auto"/>
        <w:tabs>
          <w:tab w:leader="none" w:pos="1812" w:val="left"/>
        </w:tabs>
        <w:numPr>
          <w:ilvl w:val="0"/>
          <w:numId w:val="71"/>
        </w:numPr>
        <w:rPr>
          <w:rFonts w:ascii="Arial" w:cs="Arial" w:eastAsia="Arial" w:hAnsi="Arial"/>
          <w:sz w:val="14"/>
          <w:szCs w:val="14"/>
          <w:color w:val="auto"/>
        </w:rPr>
      </w:pPr>
      <w:r>
        <w:rPr>
          <w:rFonts w:ascii="Arial" w:cs="Arial" w:eastAsia="Arial" w:hAnsi="Arial"/>
          <w:sz w:val="14"/>
          <w:szCs w:val="14"/>
          <w:i w:val="1"/>
          <w:iCs w:val="1"/>
          <w:u w:val="single" w:color="auto"/>
          <w:color w:val="auto"/>
        </w:rPr>
        <w:t>Digitalization solutions</w:t>
      </w:r>
      <w:r>
        <w:rPr>
          <w:rFonts w:ascii="Arial" w:cs="Arial" w:eastAsia="Arial" w:hAnsi="Arial"/>
          <w:sz w:val="14"/>
          <w:szCs w:val="14"/>
          <w:i w:val="1"/>
          <w:iCs w:val="1"/>
          <w:color w:val="auto"/>
        </w:rPr>
        <w:t xml:space="preserve">. </w:t>
      </w:r>
      <w:r>
        <w:rPr>
          <w:rFonts w:ascii="Arial" w:cs="Arial" w:eastAsia="Arial" w:hAnsi="Arial"/>
          <w:sz w:val="14"/>
          <w:szCs w:val="14"/>
          <w:color w:val="auto"/>
        </w:rPr>
        <w:t>Digitalization is not a step in the auto transaction process; rather, it</w:t>
      </w:r>
      <w:r>
        <w:rPr>
          <w:rFonts w:ascii="Arial" w:cs="Arial" w:eastAsia="Arial" w:hAnsi="Arial"/>
          <w:sz w:val="14"/>
          <w:szCs w:val="14"/>
          <w:i w:val="1"/>
          <w:iCs w:val="1"/>
          <w:color w:val="auto"/>
        </w:rPr>
        <w:t xml:space="preserve"> </w:t>
      </w:r>
      <w:r>
        <w:rPr>
          <w:rFonts w:ascii="Arial" w:cs="Arial" w:eastAsia="Arial" w:hAnsi="Arial"/>
          <w:sz w:val="14"/>
          <w:szCs w:val="14"/>
          <w:color w:val="auto"/>
        </w:rPr>
        <w:t>serves as the fundamental infrastructure underpinning every aspect of an auto merchant’s operations and is often a determining factor to their efficiency and success.</w:t>
      </w:r>
    </w:p>
    <w:p>
      <w:pPr>
        <w:spacing w:after="0" w:line="75" w:lineRule="exact"/>
        <w:rPr>
          <w:rFonts w:ascii="Arial" w:cs="Arial" w:eastAsia="Arial" w:hAnsi="Arial"/>
          <w:sz w:val="14"/>
          <w:szCs w:val="14"/>
          <w:color w:val="auto"/>
        </w:rPr>
      </w:pPr>
    </w:p>
    <w:p>
      <w:pPr>
        <w:jc w:val="both"/>
        <w:ind w:left="1800" w:right="1398"/>
        <w:spacing w:after="0" w:line="245" w:lineRule="auto"/>
        <w:rPr>
          <w:rFonts w:ascii="Arial" w:cs="Arial" w:eastAsia="Arial" w:hAnsi="Arial"/>
          <w:sz w:val="14"/>
          <w:szCs w:val="14"/>
          <w:color w:val="auto"/>
        </w:rPr>
      </w:pPr>
      <w:r>
        <w:rPr>
          <w:rFonts w:ascii="Arial" w:cs="Arial" w:eastAsia="Arial" w:hAnsi="Arial"/>
          <w:sz w:val="14"/>
          <w:szCs w:val="14"/>
          <w:color w:val="auto"/>
        </w:rPr>
        <w:t>The level of digitalization among auto merchants in China varies, based on their scales and business models. For example, while OEMs have reached the highest level of digitalization for their operations, used car dealers in China have made limited progress in adopting digital solutions.</w:t>
      </w:r>
    </w:p>
    <w:p>
      <w:pPr>
        <w:spacing w:after="0" w:line="79" w:lineRule="exact"/>
        <w:rPr>
          <w:rFonts w:ascii="Arial" w:cs="Arial" w:eastAsia="Arial" w:hAnsi="Arial"/>
          <w:sz w:val="14"/>
          <w:szCs w:val="14"/>
          <w:color w:val="auto"/>
        </w:rPr>
      </w:pPr>
    </w:p>
    <w:p>
      <w:pPr>
        <w:jc w:val="both"/>
        <w:ind w:left="1800" w:right="1398" w:hanging="136"/>
        <w:spacing w:after="0" w:line="237" w:lineRule="auto"/>
        <w:tabs>
          <w:tab w:leader="none" w:pos="1803" w:val="left"/>
        </w:tabs>
        <w:numPr>
          <w:ilvl w:val="0"/>
          <w:numId w:val="71"/>
        </w:numPr>
        <w:rPr>
          <w:rFonts w:ascii="Arial" w:cs="Arial" w:eastAsia="Arial" w:hAnsi="Arial"/>
          <w:sz w:val="14"/>
          <w:szCs w:val="14"/>
          <w:color w:val="auto"/>
        </w:rPr>
      </w:pPr>
      <w:r>
        <w:rPr>
          <w:rFonts w:ascii="Arial" w:cs="Arial" w:eastAsia="Arial" w:hAnsi="Arial"/>
          <w:sz w:val="14"/>
          <w:szCs w:val="14"/>
          <w:i w:val="1"/>
          <w:iCs w:val="1"/>
          <w:u w:val="single" w:color="auto"/>
          <w:color w:val="auto"/>
        </w:rPr>
        <w:t>Transaction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For used cars, key transaction services include transaction facilitation,</w:t>
      </w:r>
      <w:r>
        <w:rPr>
          <w:rFonts w:ascii="Arial" w:cs="Arial" w:eastAsia="Arial" w:hAnsi="Arial"/>
          <w:sz w:val="14"/>
          <w:szCs w:val="14"/>
          <w:i w:val="1"/>
          <w:iCs w:val="1"/>
          <w:color w:val="auto"/>
        </w:rPr>
        <w:t xml:space="preserve"> </w:t>
      </w:r>
      <w:r>
        <w:rPr>
          <w:rFonts w:ascii="Arial" w:cs="Arial" w:eastAsia="Arial" w:hAnsi="Arial"/>
          <w:sz w:val="14"/>
          <w:szCs w:val="14"/>
          <w:color w:val="auto"/>
        </w:rPr>
        <w:t>used car inspection and certification, delivery, financial product referral, used car recondition and marketing services. For new cars, key transaction services include marketing, delivery, new car ancillary services and financial product referral services. The market size of the car transaction services market in China reached RMB861.1 billion in 2025, including RMB183.6 billion from the used car sector and RMB677.5 billion from the new car sector, according to CIC. On a per unit basis, the actual transaction services spending per year was approximately RMB12,045.6 per used car transaction and approximately RMB22,509.5 per new car transaction in 2025, according to the same source.</w:t>
      </w:r>
    </w:p>
    <w:p>
      <w:pPr>
        <w:spacing w:after="0" w:line="7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For details, see “— China’s Used Car Market — Key Participants and Key Services of China’s Used Car Market — Key Services” and “— China’s New Car Market — Key Participants and Key Services of China’s New Car Market — Key Services.”</w:t>
      </w:r>
    </w:p>
    <w:p>
      <w:pPr>
        <w:spacing w:after="0" w:line="7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chart illustrates the auto commerce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80645</wp:posOffset>
            </wp:positionV>
            <wp:extent cx="3946525" cy="1758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46525" cy="175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China’s Used Car Market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Overview of China’s Used Car Market</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China’s used car market has witnessed significant growth in both transaction volume and value, primarily driven by its growing car parc, which surpassed the U.S. and became the world’s largest in 2021, according to CIC.</w:t>
      </w:r>
    </w:p>
    <w:p>
      <w:pPr>
        <w:spacing w:after="0" w:line="6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China’s used car market is expected to witness tremendous growth in the next several years at a faster rate than in the past years, driven by its massive and growing car parc entering the right maturity for used car sales.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1" w:name="page172"/>
    <w:bookmarkEnd w:id="17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chart below illustrates the total volume and value of used car sales in China for the periods indicated. As indicated in the chart, the total volume and value of used car sales in China have continued to grow since 2020, despite fluctuations in 2022 due to the impacts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62230</wp:posOffset>
            </wp:positionV>
            <wp:extent cx="3656965" cy="12515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5696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Comparisons to more mature markets such as the U.S. in key metrics for used car penetration also suggest great growth potential for China’s used car market.</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Number of used car sales per 1,000 persons.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number of used car sales per 1,000 persons was only 11 in China in 2025, significantly less than 1/11 of the corresponding 130 in the U.S. in the same year, according to CIC. The chart below illustrates the number of used car sales per 1,000 persons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62230</wp:posOffset>
            </wp:positionV>
            <wp:extent cx="3953510" cy="21151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53510"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2" w:name="page173"/>
    <w:bookmarkEnd w:id="17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Used car sales as a percentage of total car sales.</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Used car sales as a percentage of total car sales by volume was 34% in China in 2025, as compared to 73% in the U.S. in the same year, according to CIC. The chart below illustrates used car sales as a percentage of total car sales by volume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62230</wp:posOffset>
            </wp:positionV>
            <wp:extent cx="3815080" cy="15811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15080" cy="158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Used car sales penetration rate.</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Used car sales penetration rate was 4.8% in China in 2025, compared to 17.1% in the U.S. in the same year, according to CIC. In other words, approximately 90% of car parc in China were still with their first owners and have never entered used car commerce. Used car sales penetration rate is calculated by dividing used car sales volume by total car parc.</w:t>
      </w:r>
    </w:p>
    <w:p>
      <w:pPr>
        <w:spacing w:after="0" w:line="6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chart below illustrates used car sales penetration rate in China and the U.S., respectively,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51435</wp:posOffset>
            </wp:positionV>
            <wp:extent cx="3815080" cy="14693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15080"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3" w:name="page174"/>
    <w:bookmarkEnd w:id="17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Key Drivers of China’s Used Car Market</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factors are expected to drive the growth of China’s used car market: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Strong Car Parc Profile — Largest in the World, Growing, and Mature</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Having achieved the world’s largest car parc in 2021, China has a massive and fast-growing pool of used cars for sale. China’s car parc reached 320.5 million in 2025 and is expected to continue to grow at a CAGR of 3.6% to 382.1 million in 2030, according to CIC, providing the most fundamental and high-certainty driver for used car growth.</w:t>
      </w:r>
    </w:p>
    <w:p>
      <w:pPr>
        <w:spacing w:after="0" w:line="7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To put this into context, car parc in the U.S. was 255.1 million in 2025 and is expected to grow at a modest CAGR of 0.4% from 2025 to 2030, according to CIC. The chart below illustrates car parcs in China and the U.S.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53340</wp:posOffset>
            </wp:positionV>
            <wp:extent cx="3933190" cy="15087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93319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average age of China’s car parc grew from 5.6 years in 2020 to 7.2 years in 2025, entering an age range most conducive for used car sale, and is expected to grow to 8.1 years in 2030, according to CIC. According to the same source, the average age of used car sold in 2025 is 6.3 years. Used cars are transacted most frequently at the age of six or above, and around 64% of the used cars sold in the U.S. aged between six and 10 years in 2025, according to CIC.</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Favorable Government Policies — Eliminating Barriers and Lowering Taxes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Numerous favorable policy changes have provided additional tailwind for China’s used car market. These policy changes include:</w:t>
      </w:r>
    </w:p>
    <w:p>
      <w:pPr>
        <w:spacing w:after="0" w:line="64" w:lineRule="exact"/>
        <w:rPr>
          <w:sz w:val="20"/>
          <w:szCs w:val="20"/>
          <w:color w:val="auto"/>
        </w:rPr>
      </w:pPr>
    </w:p>
    <w:p>
      <w:pPr>
        <w:ind w:left="1800" w:hanging="136"/>
        <w:spacing w:after="0"/>
        <w:tabs>
          <w:tab w:leader="none" w:pos="1800" w:val="left"/>
        </w:tabs>
        <w:numPr>
          <w:ilvl w:val="0"/>
          <w:numId w:val="72"/>
        </w:numPr>
        <w:rPr>
          <w:rFonts w:ascii="Arial" w:cs="Arial" w:eastAsia="Arial" w:hAnsi="Arial"/>
          <w:sz w:val="11"/>
          <w:szCs w:val="11"/>
          <w:color w:val="auto"/>
        </w:rPr>
      </w:pPr>
      <w:r>
        <w:rPr>
          <w:rFonts w:ascii="Arial" w:cs="Arial" w:eastAsia="Arial" w:hAnsi="Arial"/>
          <w:sz w:val="14"/>
          <w:szCs w:val="14"/>
          <w:i w:val="1"/>
          <w:iCs w:val="1"/>
          <w:u w:val="single" w:color="auto"/>
          <w:color w:val="auto"/>
        </w:rPr>
        <w:t>Removal of Barriers to Cross-region Used Car Sales</w:t>
      </w:r>
    </w:p>
    <w:p>
      <w:pPr>
        <w:spacing w:after="0" w:line="96" w:lineRule="exact"/>
        <w:rPr>
          <w:rFonts w:ascii="Arial" w:cs="Arial" w:eastAsia="Arial" w:hAnsi="Arial"/>
          <w:sz w:val="11"/>
          <w:szCs w:val="11"/>
          <w:color w:val="auto"/>
        </w:rPr>
      </w:pPr>
    </w:p>
    <w:p>
      <w:pPr>
        <w:jc w:val="both"/>
        <w:ind w:left="1800" w:right="1398"/>
        <w:spacing w:after="0" w:line="257" w:lineRule="auto"/>
        <w:rPr>
          <w:rFonts w:ascii="Arial" w:cs="Arial" w:eastAsia="Arial" w:hAnsi="Arial"/>
          <w:sz w:val="11"/>
          <w:szCs w:val="11"/>
          <w:color w:val="auto"/>
        </w:rPr>
      </w:pPr>
      <w:r>
        <w:rPr>
          <w:rFonts w:ascii="Arial" w:cs="Arial" w:eastAsia="Arial" w:hAnsi="Arial"/>
          <w:sz w:val="13"/>
          <w:szCs w:val="13"/>
          <w:color w:val="auto"/>
        </w:rPr>
        <w:t>Many provinces in China used to have in place policies that restricted inbound used cars. Given that China is a large and naturally tiered market for used car sales, such restrictions have significantly hindered the development of China’s used car market. In 2022, the NDRC and several other agencies of China’s central government jointly issued multiple policies to, among other things, remove such cross-region restrictions to boost used car transactions. In July 2023, the NDRC announced a series of measures aimed at stimulating auto consumption, with guidelines designed to “encourage trade-ins of obsolete cars,” “facilitate the trading and registration of used vehicles,” and “increase financial support for auto consumption.” These guidelines are expected to further bolster the cross-regional used car transactions.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4" w:name="page175"/>
    <w:bookmarkEnd w:id="17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0" w:lineRule="exact"/>
        <w:rPr>
          <w:sz w:val="20"/>
          <w:szCs w:val="20"/>
          <w:color w:val="auto"/>
        </w:rPr>
      </w:pPr>
    </w:p>
    <w:p>
      <w:pPr>
        <w:ind w:left="1780" w:hanging="116"/>
        <w:spacing w:after="0"/>
        <w:tabs>
          <w:tab w:leader="none" w:pos="1780" w:val="left"/>
        </w:tabs>
        <w:numPr>
          <w:ilvl w:val="0"/>
          <w:numId w:val="73"/>
        </w:numPr>
        <w:rPr>
          <w:rFonts w:ascii="Arial" w:cs="Arial" w:eastAsia="Arial" w:hAnsi="Arial"/>
          <w:sz w:val="14"/>
          <w:szCs w:val="14"/>
          <w:color w:val="auto"/>
        </w:rPr>
      </w:pPr>
      <w:r>
        <w:rPr>
          <w:rFonts w:ascii="Arial" w:cs="Arial" w:eastAsia="Arial" w:hAnsi="Arial"/>
          <w:sz w:val="14"/>
          <w:szCs w:val="14"/>
          <w:i w:val="1"/>
          <w:iCs w:val="1"/>
          <w:u w:val="single" w:color="auto"/>
          <w:color w:val="auto"/>
        </w:rPr>
        <w:t>Reform of Used Car Related Tax Rules and Registration Rules</w:t>
      </w:r>
    </w:p>
    <w:p>
      <w:pPr>
        <w:spacing w:after="0" w:line="106" w:lineRule="exact"/>
        <w:rPr>
          <w:rFonts w:ascii="Arial" w:cs="Arial" w:eastAsia="Arial" w:hAnsi="Arial"/>
          <w:sz w:val="14"/>
          <w:szCs w:val="14"/>
          <w:color w:val="auto"/>
        </w:rPr>
      </w:pPr>
    </w:p>
    <w:p>
      <w:pPr>
        <w:jc w:val="both"/>
        <w:ind w:left="1800" w:right="1398"/>
        <w:spacing w:after="0" w:line="237" w:lineRule="auto"/>
        <w:rPr>
          <w:rFonts w:ascii="Arial" w:cs="Arial" w:eastAsia="Arial" w:hAnsi="Arial"/>
          <w:sz w:val="14"/>
          <w:szCs w:val="14"/>
          <w:color w:val="auto"/>
        </w:rPr>
      </w:pPr>
      <w:r>
        <w:rPr>
          <w:rFonts w:ascii="Arial" w:cs="Arial" w:eastAsia="Arial" w:hAnsi="Arial"/>
          <w:sz w:val="14"/>
          <w:szCs w:val="14"/>
          <w:color w:val="auto"/>
        </w:rPr>
        <w:t>VAT tax rate for used car sales was reduced from 2% to 0.5%, effective in May 2020. Starting in January 2023, the process of obtaining a used car sales tax receipt, known as “</w:t>
      </w:r>
      <w:r>
        <w:rPr>
          <w:rFonts w:ascii="Arial" w:cs="Arial" w:eastAsia="Arial" w:hAnsi="Arial"/>
          <w:sz w:val="14"/>
          <w:szCs w:val="14"/>
          <w:i w:val="1"/>
          <w:iCs w:val="1"/>
          <w:color w:val="auto"/>
        </w:rPr>
        <w:t>fapiao</w:t>
      </w:r>
      <w:r>
        <w:rPr>
          <w:rFonts w:ascii="Arial" w:cs="Arial" w:eastAsia="Arial" w:hAnsi="Arial"/>
          <w:sz w:val="14"/>
          <w:szCs w:val="14"/>
          <w:color w:val="auto"/>
        </w:rPr>
        <w:t>,” has also recently been simplified. Several other policy changes were also introduced in 2022 and 2023 to reduce administrative burdens and enhance operational efficiency for dealers, including permitting the use of temporary license plates for used cars. This also includes allowing used cars to be categorized as inventory as opposed to corporate asset under applicable tax rules, which provides improved tax treatment and streamlines accounting processes for used car dealers.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Growing Consumers Acceptance of Used Cars</w:t>
      </w:r>
    </w:p>
    <w:p>
      <w:pPr>
        <w:spacing w:after="0" w:line="109" w:lineRule="exact"/>
        <w:rPr>
          <w:sz w:val="20"/>
          <w:szCs w:val="20"/>
          <w:color w:val="auto"/>
        </w:rPr>
      </w:pPr>
    </w:p>
    <w:p>
      <w:pPr>
        <w:ind w:left="1800" w:hanging="136"/>
        <w:spacing w:after="0"/>
        <w:tabs>
          <w:tab w:leader="none" w:pos="1800" w:val="left"/>
        </w:tabs>
        <w:numPr>
          <w:ilvl w:val="0"/>
          <w:numId w:val="74"/>
        </w:numPr>
        <w:rPr>
          <w:rFonts w:ascii="Arial" w:cs="Arial" w:eastAsia="Arial" w:hAnsi="Arial"/>
          <w:sz w:val="11"/>
          <w:szCs w:val="11"/>
          <w:color w:val="auto"/>
        </w:rPr>
      </w:pPr>
      <w:r>
        <w:rPr>
          <w:rFonts w:ascii="Arial" w:cs="Arial" w:eastAsia="Arial" w:hAnsi="Arial"/>
          <w:sz w:val="14"/>
          <w:szCs w:val="14"/>
          <w:i w:val="1"/>
          <w:iCs w:val="1"/>
          <w:u w:val="single" w:color="auto"/>
          <w:color w:val="auto"/>
        </w:rPr>
        <w:t>Increased Supply of Quality Used Cars in the Market</w:t>
      </w:r>
    </w:p>
    <w:p>
      <w:pPr>
        <w:spacing w:after="0" w:line="96" w:lineRule="exact"/>
        <w:rPr>
          <w:rFonts w:ascii="Arial" w:cs="Arial" w:eastAsia="Arial" w:hAnsi="Arial"/>
          <w:sz w:val="11"/>
          <w:szCs w:val="11"/>
          <w:color w:val="auto"/>
        </w:rPr>
      </w:pPr>
    </w:p>
    <w:p>
      <w:pPr>
        <w:jc w:val="both"/>
        <w:ind w:left="1800" w:right="1398"/>
        <w:spacing w:after="0" w:line="238" w:lineRule="auto"/>
        <w:rPr>
          <w:rFonts w:ascii="Arial" w:cs="Arial" w:eastAsia="Arial" w:hAnsi="Arial"/>
          <w:sz w:val="11"/>
          <w:szCs w:val="11"/>
          <w:color w:val="auto"/>
        </w:rPr>
      </w:pPr>
      <w:r>
        <w:rPr>
          <w:rFonts w:ascii="Arial" w:cs="Arial" w:eastAsia="Arial" w:hAnsi="Arial"/>
          <w:sz w:val="14"/>
          <w:szCs w:val="14"/>
          <w:color w:val="auto"/>
        </w:rPr>
        <w:t>China has emerged as the largest automobile market in the world, according to CIC. As new car sales increase, the used car market also expands as these vehicles eventually enter the used car market. The overall quality of used cars in China has improved significantly, as automakers have made notable advancements in terms of durability, reliability, and overall build quality. The growth of vehicle leasing and trade-in programs in China has also boosted the supply of used cars. As more new car buyers trade in their old vehicles, the supply of used cars in good condition increases.</w:t>
      </w:r>
    </w:p>
    <w:p>
      <w:pPr>
        <w:spacing w:after="0" w:line="77" w:lineRule="exact"/>
        <w:rPr>
          <w:rFonts w:ascii="Arial" w:cs="Arial" w:eastAsia="Arial" w:hAnsi="Arial"/>
          <w:sz w:val="11"/>
          <w:szCs w:val="11"/>
          <w:color w:val="auto"/>
        </w:rPr>
      </w:pPr>
    </w:p>
    <w:p>
      <w:pPr>
        <w:ind w:left="1800" w:hanging="136"/>
        <w:spacing w:after="0"/>
        <w:tabs>
          <w:tab w:leader="none" w:pos="1800" w:val="left"/>
        </w:tabs>
        <w:numPr>
          <w:ilvl w:val="0"/>
          <w:numId w:val="74"/>
        </w:numPr>
        <w:rPr>
          <w:rFonts w:ascii="Arial" w:cs="Arial" w:eastAsia="Arial" w:hAnsi="Arial"/>
          <w:sz w:val="11"/>
          <w:szCs w:val="11"/>
          <w:color w:val="auto"/>
        </w:rPr>
      </w:pPr>
      <w:r>
        <w:rPr>
          <w:rFonts w:ascii="Arial" w:cs="Arial" w:eastAsia="Arial" w:hAnsi="Arial"/>
          <w:sz w:val="14"/>
          <w:szCs w:val="14"/>
          <w:i w:val="1"/>
          <w:iCs w:val="1"/>
          <w:u w:val="single" w:color="auto"/>
          <w:color w:val="auto"/>
        </w:rPr>
        <w:t>Growing Consumer Acceptance</w:t>
      </w:r>
    </w:p>
    <w:p>
      <w:pPr>
        <w:spacing w:after="0" w:line="96" w:lineRule="exact"/>
        <w:rPr>
          <w:rFonts w:ascii="Arial" w:cs="Arial" w:eastAsia="Arial" w:hAnsi="Arial"/>
          <w:sz w:val="11"/>
          <w:szCs w:val="11"/>
          <w:color w:val="auto"/>
        </w:rPr>
      </w:pPr>
    </w:p>
    <w:p>
      <w:pPr>
        <w:jc w:val="both"/>
        <w:ind w:left="1800" w:right="1398"/>
        <w:spacing w:after="0" w:line="237" w:lineRule="auto"/>
        <w:rPr>
          <w:rFonts w:ascii="Arial" w:cs="Arial" w:eastAsia="Arial" w:hAnsi="Arial"/>
          <w:sz w:val="11"/>
          <w:szCs w:val="11"/>
          <w:color w:val="auto"/>
        </w:rPr>
      </w:pPr>
      <w:r>
        <w:rPr>
          <w:rFonts w:ascii="Arial" w:cs="Arial" w:eastAsia="Arial" w:hAnsi="Arial"/>
          <w:sz w:val="14"/>
          <w:szCs w:val="14"/>
          <w:color w:val="auto"/>
        </w:rPr>
        <w:t>Chinese consumers are increasingly embracing the idea of buying used cars. Traditionally, car ownership in China has been associated with social status and prestige. However, as consumer attitudes evolve, there has been a shift towards viewing cars more as a utility rather than a status symbol. Chinese consumers are increasingly focusing on meeting their transportation needs rather than solely seeking social validation. The growing consumer acceptance of purchasing used cars is further fueled by the more standardized and streamlined transaction process and increased transparency and transaction security attributed to the growing adoption of reliable used car inspection and certification services.</w:t>
      </w:r>
    </w:p>
    <w:p>
      <w:pPr>
        <w:spacing w:after="0" w:line="79" w:lineRule="exact"/>
        <w:rPr>
          <w:rFonts w:ascii="Arial" w:cs="Arial" w:eastAsia="Arial" w:hAnsi="Arial"/>
          <w:sz w:val="11"/>
          <w:szCs w:val="11"/>
          <w:color w:val="auto"/>
        </w:rPr>
      </w:pPr>
    </w:p>
    <w:p>
      <w:pPr>
        <w:ind w:left="1800" w:hanging="136"/>
        <w:spacing w:after="0"/>
        <w:tabs>
          <w:tab w:leader="none" w:pos="1800" w:val="left"/>
        </w:tabs>
        <w:numPr>
          <w:ilvl w:val="0"/>
          <w:numId w:val="74"/>
        </w:numPr>
        <w:rPr>
          <w:rFonts w:ascii="Arial" w:cs="Arial" w:eastAsia="Arial" w:hAnsi="Arial"/>
          <w:sz w:val="11"/>
          <w:szCs w:val="11"/>
          <w:color w:val="auto"/>
        </w:rPr>
      </w:pPr>
      <w:r>
        <w:rPr>
          <w:rFonts w:ascii="Arial" w:cs="Arial" w:eastAsia="Arial" w:hAnsi="Arial"/>
          <w:sz w:val="14"/>
          <w:szCs w:val="14"/>
          <w:i w:val="1"/>
          <w:iCs w:val="1"/>
          <w:u w:val="single" w:color="auto"/>
          <w:color w:val="auto"/>
        </w:rPr>
        <w:t>Proliferation of Comprehensive Car-related Support and Services</w:t>
      </w:r>
    </w:p>
    <w:p>
      <w:pPr>
        <w:spacing w:after="0" w:line="96" w:lineRule="exact"/>
        <w:rPr>
          <w:rFonts w:ascii="Arial" w:cs="Arial" w:eastAsia="Arial" w:hAnsi="Arial"/>
          <w:sz w:val="11"/>
          <w:szCs w:val="11"/>
          <w:color w:val="auto"/>
        </w:rPr>
      </w:pPr>
    </w:p>
    <w:p>
      <w:pPr>
        <w:jc w:val="both"/>
        <w:ind w:left="1800" w:right="1398"/>
        <w:spacing w:after="0" w:line="238" w:lineRule="auto"/>
        <w:rPr>
          <w:rFonts w:ascii="Arial" w:cs="Arial" w:eastAsia="Arial" w:hAnsi="Arial"/>
          <w:sz w:val="11"/>
          <w:szCs w:val="11"/>
          <w:color w:val="auto"/>
        </w:rPr>
      </w:pPr>
      <w:r>
        <w:rPr>
          <w:rFonts w:ascii="Arial" w:cs="Arial" w:eastAsia="Arial" w:hAnsi="Arial"/>
          <w:sz w:val="14"/>
          <w:szCs w:val="14"/>
          <w:color w:val="auto"/>
        </w:rPr>
        <w:t>The proliferation of comprehensive car-related support and services, along with strong quality assurance measures, not only builds trust and confidence in the used car market but also makes the process more convenient and reliable for both buyers and sellers. For example, quality assurance measures, such as thorough used car inspections and certifications and warranties, instill confidence in buyers. This trust is essential in the used car market where uncertainty about a vehicle’s condition is a significant concern. Additionally, providing financing options tailored for used cars makes it easier for buyers to complete transactions.</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5" w:name="page176"/>
    <w:bookmarkEnd w:id="17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Key Participants and Key Services of China’s Used Car Market</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diagram below illustrates the key participants and commerce flow of China’s used car market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50800</wp:posOffset>
            </wp:positionV>
            <wp:extent cx="3946525" cy="18713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46525" cy="187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Key Participants in Used Car Market</w:t>
      </w:r>
    </w:p>
    <w:p>
      <w:pPr>
        <w:spacing w:after="0" w:line="16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Used Car Dealers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Used car dealers play a central role in China’s used car market. Approximately 88% of the used car sales as measured by sales volume in 2025 were conducted through used car dealers, according to CIC.</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Despite the large number of them and the key role they play in the used car market, used car dealers in China are small in scale individually and geographically dispersed.</w:t>
      </w:r>
    </w:p>
    <w:p>
      <w:pPr>
        <w:spacing w:after="0" w:line="51" w:lineRule="exact"/>
        <w:rPr>
          <w:sz w:val="20"/>
          <w:szCs w:val="20"/>
          <w:color w:val="auto"/>
        </w:rPr>
      </w:pPr>
    </w:p>
    <w:p>
      <w:pPr>
        <w:ind w:left="1800" w:right="1398" w:hanging="136"/>
        <w:spacing w:after="0" w:line="271" w:lineRule="auto"/>
        <w:tabs>
          <w:tab w:leader="none" w:pos="1804" w:val="left"/>
        </w:tabs>
        <w:numPr>
          <w:ilvl w:val="0"/>
          <w:numId w:val="75"/>
        </w:numPr>
        <w:rPr>
          <w:rFonts w:ascii="Arial" w:cs="Arial" w:eastAsia="Arial" w:hAnsi="Arial"/>
          <w:sz w:val="11"/>
          <w:szCs w:val="11"/>
          <w:color w:val="auto"/>
        </w:rPr>
      </w:pPr>
      <w:r>
        <w:rPr>
          <w:rFonts w:ascii="Arial" w:cs="Arial" w:eastAsia="Arial" w:hAnsi="Arial"/>
          <w:sz w:val="14"/>
          <w:szCs w:val="14"/>
          <w:color w:val="auto"/>
        </w:rPr>
        <w:t>There were over 200,000 active used car dealers in China as of December 31, 2025, and 80% of them are SMEs with less than three employees, according to CIC.</w:t>
      </w:r>
    </w:p>
    <w:p>
      <w:pPr>
        <w:spacing w:after="0" w:line="61"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75"/>
        </w:numPr>
        <w:rPr>
          <w:rFonts w:ascii="Arial" w:cs="Arial" w:eastAsia="Arial" w:hAnsi="Arial"/>
          <w:sz w:val="11"/>
          <w:szCs w:val="11"/>
          <w:color w:val="auto"/>
        </w:rPr>
      </w:pPr>
      <w:r>
        <w:rPr>
          <w:rFonts w:ascii="Arial" w:cs="Arial" w:eastAsia="Arial" w:hAnsi="Arial"/>
          <w:sz w:val="14"/>
          <w:szCs w:val="14"/>
          <w:color w:val="auto"/>
        </w:rPr>
        <w:t>Used car sales is an inherently complex business that demands a high degree of informational and operational coordination among various collaborators, both online and offline — for instance, while some used car dealers have begun to use online channels to showcase their inventory, the successful completion of a sale requires conducting thorough used car inspections which must be conducted offline. However, nearly all of the used car dealers in China simply do not have the scale and resources to effectively coordinate with the online and offline elements of their operational and sales processes.</w:t>
      </w:r>
    </w:p>
    <w:p>
      <w:pPr>
        <w:spacing w:after="0" w:line="86" w:lineRule="exact"/>
        <w:rPr>
          <w:rFonts w:ascii="Arial" w:cs="Arial" w:eastAsia="Arial" w:hAnsi="Arial"/>
          <w:sz w:val="11"/>
          <w:szCs w:val="11"/>
          <w:color w:val="auto"/>
        </w:rPr>
      </w:pPr>
    </w:p>
    <w:p>
      <w:pPr>
        <w:jc w:val="both"/>
        <w:ind w:left="1800" w:right="1398" w:hanging="136"/>
        <w:spacing w:after="0" w:line="245" w:lineRule="auto"/>
        <w:tabs>
          <w:tab w:leader="none" w:pos="1783" w:val="left"/>
        </w:tabs>
        <w:numPr>
          <w:ilvl w:val="0"/>
          <w:numId w:val="75"/>
        </w:numPr>
        <w:rPr>
          <w:rFonts w:ascii="Arial" w:cs="Arial" w:eastAsia="Arial" w:hAnsi="Arial"/>
          <w:sz w:val="11"/>
          <w:szCs w:val="11"/>
          <w:color w:val="auto"/>
        </w:rPr>
      </w:pPr>
      <w:r>
        <w:rPr>
          <w:rFonts w:ascii="Arial" w:cs="Arial" w:eastAsia="Arial" w:hAnsi="Arial"/>
          <w:sz w:val="14"/>
          <w:szCs w:val="14"/>
          <w:color w:val="auto"/>
        </w:rPr>
        <w:t>Additionally, many used car dealers operate without the benefit of modern information technology. Key aspects of their operating processes, from inventory sourcing to inventory management, to leads generation and customer management, and from internal administration to financial analysis, are nearly all offline.</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6" w:name="page177"/>
    <w:bookmarkEnd w:id="17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Authorized Dealers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Authorized dealers, also known as 4S (sales, service, spare parts and surveys) dealerships in China, are franchised dealers that sell new cars for OEMs. Authorized dealers serve as a channel for used car sales as used cars are traded in by their owners to authorized dealers who will then resell to used car dealers. Authorized dealers accounted for over 35% of used car sources in China, according to CIC.</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Key Services</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Key services in China’s used car market include the following:</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Used car dealers are increasingly using digital tools to streamline their business processes and lower operational costs driven by the growing prevalence of these technologies and heightened competition for operational efficiency. Used car dealers are adopting integrated operating systems with advanced digital solutions to help them navigate various operational tasks, from inventory sourcing, inventory management, marketing, sales to business analysis and internal administration. The market size of digitalization solutions in China’s used car market reached RMB113.3 million in 2025 and is expected to grow at CAGR of 26.4% to RMB365.3 million in 2030, according to CIC.</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98" w:lineRule="exact"/>
        <w:rPr>
          <w:sz w:val="20"/>
          <w:szCs w:val="20"/>
          <w:color w:val="auto"/>
        </w:rPr>
      </w:pPr>
    </w:p>
    <w:p>
      <w:pPr>
        <w:ind w:left="1800" w:hanging="136"/>
        <w:spacing w:after="0"/>
        <w:tabs>
          <w:tab w:leader="none" w:pos="1800" w:val="left"/>
        </w:tabs>
        <w:numPr>
          <w:ilvl w:val="0"/>
          <w:numId w:val="76"/>
        </w:numPr>
        <w:rPr>
          <w:rFonts w:ascii="Arial" w:cs="Arial" w:eastAsia="Arial" w:hAnsi="Arial"/>
          <w:sz w:val="11"/>
          <w:szCs w:val="11"/>
          <w:color w:val="auto"/>
        </w:rPr>
      </w:pPr>
      <w:r>
        <w:rPr>
          <w:rFonts w:ascii="Arial" w:cs="Arial" w:eastAsia="Arial" w:hAnsi="Arial"/>
          <w:sz w:val="14"/>
          <w:szCs w:val="14"/>
          <w:i w:val="1"/>
          <w:iCs w:val="1"/>
          <w:u w:val="single" w:color="auto"/>
          <w:color w:val="auto"/>
        </w:rPr>
        <w:t>Transaction Facilitation Services</w:t>
      </w:r>
    </w:p>
    <w:p>
      <w:pPr>
        <w:spacing w:after="0" w:line="106" w:lineRule="exact"/>
        <w:rPr>
          <w:rFonts w:ascii="Arial" w:cs="Arial" w:eastAsia="Arial" w:hAnsi="Arial"/>
          <w:sz w:val="11"/>
          <w:szCs w:val="11"/>
          <w:color w:val="auto"/>
        </w:rPr>
      </w:pPr>
    </w:p>
    <w:p>
      <w:pPr>
        <w:jc w:val="both"/>
        <w:ind w:left="1800" w:right="1398"/>
        <w:spacing w:after="0" w:line="236" w:lineRule="auto"/>
        <w:rPr>
          <w:rFonts w:ascii="Arial" w:cs="Arial" w:eastAsia="Arial" w:hAnsi="Arial"/>
          <w:sz w:val="11"/>
          <w:szCs w:val="11"/>
          <w:color w:val="auto"/>
        </w:rPr>
      </w:pPr>
      <w:r>
        <w:rPr>
          <w:rFonts w:ascii="Arial" w:cs="Arial" w:eastAsia="Arial" w:hAnsi="Arial"/>
          <w:sz w:val="14"/>
          <w:szCs w:val="14"/>
          <w:color w:val="auto"/>
        </w:rPr>
        <w:t>Transaction facilitation consists of the facilitation of C2C, C2B, B2B and B2C transactions. One of the major challenges faced by used car dealers is their inability to effectively source used car inventory that meet their sales needs, because used cars ultimately come from individual owners and therefore their sources are random and dispersed in nature. B2B transaction facilitation services play a key role in enabling used car dealers to efficiently and effectively source and sell their inventory and interact with customers. These services include online marketplace and listing platforms where used car dealers can source used cars from a nationally pooled inventory and showcase their vehicle listings to a broader audience, as well as social media integration and digital advertising services that help dealers reach and attract potential customers.</w:t>
      </w:r>
    </w:p>
    <w:p>
      <w:pPr>
        <w:spacing w:after="0" w:line="87" w:lineRule="exact"/>
        <w:rPr>
          <w:rFonts w:ascii="Arial" w:cs="Arial" w:eastAsia="Arial" w:hAnsi="Arial"/>
          <w:sz w:val="11"/>
          <w:szCs w:val="11"/>
          <w:color w:val="auto"/>
        </w:rPr>
      </w:pPr>
    </w:p>
    <w:p>
      <w:pPr>
        <w:jc w:val="both"/>
        <w:ind w:left="1800" w:right="1398"/>
        <w:spacing w:after="0" w:line="270" w:lineRule="auto"/>
        <w:rPr>
          <w:rFonts w:ascii="Arial" w:cs="Arial" w:eastAsia="Arial" w:hAnsi="Arial"/>
          <w:sz w:val="11"/>
          <w:szCs w:val="11"/>
          <w:color w:val="auto"/>
        </w:rPr>
      </w:pPr>
      <w:r>
        <w:rPr>
          <w:rFonts w:ascii="Arial" w:cs="Arial" w:eastAsia="Arial" w:hAnsi="Arial"/>
          <w:sz w:val="13"/>
          <w:szCs w:val="13"/>
          <w:color w:val="auto"/>
        </w:rPr>
        <w:t>The market size of the transaction facilitation services in China’s used car market reached RMB28.2 billion in 2025 and is expected to grow at CAGR of 14.0% to RMB54.3 billion in 2030, of which the corresponding B2B transaction facilitation services reached RMB8.7 billion in 2025 and is expected to grow at CAGR of 16.7% to RMB18.8 billion in 2030, according to CIC.</w:t>
      </w:r>
    </w:p>
    <w:p>
      <w:pPr>
        <w:spacing w:after="0" w:line="55" w:lineRule="exact"/>
        <w:rPr>
          <w:rFonts w:ascii="Arial" w:cs="Arial" w:eastAsia="Arial" w:hAnsi="Arial"/>
          <w:sz w:val="11"/>
          <w:szCs w:val="11"/>
          <w:color w:val="auto"/>
        </w:rPr>
      </w:pPr>
    </w:p>
    <w:p>
      <w:pPr>
        <w:ind w:left="1800" w:hanging="136"/>
        <w:spacing w:after="0"/>
        <w:tabs>
          <w:tab w:leader="none" w:pos="1800" w:val="left"/>
        </w:tabs>
        <w:numPr>
          <w:ilvl w:val="0"/>
          <w:numId w:val="76"/>
        </w:numPr>
        <w:rPr>
          <w:rFonts w:ascii="Arial" w:cs="Arial" w:eastAsia="Arial" w:hAnsi="Arial"/>
          <w:sz w:val="11"/>
          <w:szCs w:val="11"/>
          <w:color w:val="auto"/>
        </w:rPr>
      </w:pPr>
      <w:r>
        <w:rPr>
          <w:rFonts w:ascii="Arial" w:cs="Arial" w:eastAsia="Arial" w:hAnsi="Arial"/>
          <w:sz w:val="14"/>
          <w:szCs w:val="14"/>
          <w:i w:val="1"/>
          <w:iCs w:val="1"/>
          <w:u w:val="single" w:color="auto"/>
          <w:color w:val="auto"/>
        </w:rPr>
        <w:t>Used Car Inspection and Certification Services</w:t>
      </w:r>
    </w:p>
    <w:p>
      <w:pPr>
        <w:spacing w:after="0" w:line="106" w:lineRule="exact"/>
        <w:rPr>
          <w:rFonts w:ascii="Arial" w:cs="Arial" w:eastAsia="Arial" w:hAnsi="Arial"/>
          <w:sz w:val="11"/>
          <w:szCs w:val="11"/>
          <w:color w:val="auto"/>
        </w:rPr>
      </w:pPr>
    </w:p>
    <w:p>
      <w:pPr>
        <w:jc w:val="both"/>
        <w:ind w:left="1800" w:right="1398"/>
        <w:spacing w:after="0" w:line="237" w:lineRule="auto"/>
        <w:rPr>
          <w:rFonts w:ascii="Arial" w:cs="Arial" w:eastAsia="Arial" w:hAnsi="Arial"/>
          <w:sz w:val="11"/>
          <w:szCs w:val="11"/>
          <w:color w:val="auto"/>
        </w:rPr>
      </w:pPr>
      <w:r>
        <w:rPr>
          <w:rFonts w:ascii="Arial" w:cs="Arial" w:eastAsia="Arial" w:hAnsi="Arial"/>
          <w:sz w:val="14"/>
          <w:szCs w:val="14"/>
          <w:color w:val="auto"/>
        </w:rPr>
        <w:t>As used cars are not standardized merchandises, used car transactions often lack transparency. As a result, reliable used car inspection and certification services play a crucial role in accurately evaluating the vehicle and ensuring it is free from hidden defects. Used car inspection and certification services involve the inspectors performing visual and mechanical inspections and providing an independent review of the vehicles’ conditions. Used car inspections and certification services are key to successfully completing used car transactions, as the overall condition of the vehicle — including its model, age, mileage and accident history — significantly influences the buyers’ purchasing decisions and the car’s price valuation.</w:t>
      </w:r>
    </w:p>
    <w:p>
      <w:pPr>
        <w:spacing w:after="0" w:line="84" w:lineRule="exact"/>
        <w:rPr>
          <w:rFonts w:ascii="Arial" w:cs="Arial" w:eastAsia="Arial" w:hAnsi="Arial"/>
          <w:sz w:val="11"/>
          <w:szCs w:val="11"/>
          <w:color w:val="auto"/>
        </w:rPr>
      </w:pPr>
    </w:p>
    <w:p>
      <w:pPr>
        <w:jc w:val="both"/>
        <w:ind w:left="1800" w:right="1398"/>
        <w:spacing w:after="0" w:line="251" w:lineRule="auto"/>
        <w:rPr>
          <w:rFonts w:ascii="Arial" w:cs="Arial" w:eastAsia="Arial" w:hAnsi="Arial"/>
          <w:sz w:val="11"/>
          <w:szCs w:val="11"/>
          <w:color w:val="auto"/>
        </w:rPr>
      </w:pPr>
      <w:r>
        <w:rPr>
          <w:rFonts w:ascii="Arial" w:cs="Arial" w:eastAsia="Arial" w:hAnsi="Arial"/>
          <w:sz w:val="14"/>
          <w:szCs w:val="14"/>
          <w:color w:val="auto"/>
        </w:rPr>
        <w:t>The market size of the used car inspection and certification services in China’s used car market reached RMB2.2 billion in 2025 and is expected to grow at CAGR of 11.6% to RMB3.7 billion in 2030, according to CIC.</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7" w:name="page178"/>
    <w:bookmarkEnd w:id="17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0" w:lineRule="exact"/>
        <w:rPr>
          <w:sz w:val="20"/>
          <w:szCs w:val="20"/>
          <w:color w:val="auto"/>
        </w:rPr>
      </w:pPr>
    </w:p>
    <w:p>
      <w:pPr>
        <w:ind w:left="1780" w:hanging="116"/>
        <w:spacing w:after="0"/>
        <w:tabs>
          <w:tab w:leader="none" w:pos="1780" w:val="left"/>
        </w:tabs>
        <w:numPr>
          <w:ilvl w:val="0"/>
          <w:numId w:val="77"/>
        </w:numPr>
        <w:rPr>
          <w:rFonts w:ascii="Arial" w:cs="Arial" w:eastAsia="Arial" w:hAnsi="Arial"/>
          <w:sz w:val="11"/>
          <w:szCs w:val="11"/>
          <w:color w:val="auto"/>
        </w:rPr>
      </w:pPr>
      <w:r>
        <w:rPr>
          <w:rFonts w:ascii="Arial" w:cs="Arial" w:eastAsia="Arial" w:hAnsi="Arial"/>
          <w:sz w:val="14"/>
          <w:szCs w:val="14"/>
          <w:i w:val="1"/>
          <w:iCs w:val="1"/>
          <w:u w:val="single" w:color="auto"/>
          <w:color w:val="auto"/>
        </w:rPr>
        <w:t>Delivery Services</w:t>
      </w:r>
    </w:p>
    <w:p>
      <w:pPr>
        <w:spacing w:after="0" w:line="106" w:lineRule="exact"/>
        <w:rPr>
          <w:rFonts w:ascii="Arial" w:cs="Arial" w:eastAsia="Arial" w:hAnsi="Arial"/>
          <w:sz w:val="11"/>
          <w:szCs w:val="11"/>
          <w:color w:val="auto"/>
        </w:rPr>
      </w:pPr>
    </w:p>
    <w:p>
      <w:pPr>
        <w:jc w:val="both"/>
        <w:ind w:left="1800" w:right="1398"/>
        <w:spacing w:after="0" w:line="237" w:lineRule="auto"/>
        <w:rPr>
          <w:rFonts w:ascii="Arial" w:cs="Arial" w:eastAsia="Arial" w:hAnsi="Arial"/>
          <w:sz w:val="11"/>
          <w:szCs w:val="11"/>
          <w:color w:val="auto"/>
        </w:rPr>
      </w:pPr>
      <w:r>
        <w:rPr>
          <w:rFonts w:ascii="Arial" w:cs="Arial" w:eastAsia="Arial" w:hAnsi="Arial"/>
          <w:sz w:val="14"/>
          <w:szCs w:val="14"/>
          <w:color w:val="auto"/>
        </w:rPr>
        <w:t>Some auto merchants in China’s used car market utilize third-party service providers to provide title transfer registration and vehicle transportation services to car buyers. Title transfer registration services streamline the intricate steps involved in transferring the ownership of a used car from sellers to buyers. This process traditionally takes place offline and can be particularly complicated and time-consuming, especially in cross-regional transactions where both parties may have to travel long distances to complete the required paperwork. In addition, in a large, multi-tiered market like China, a substantial amount of used car transactions are cross-region transactions, necessitating cross-region transportation service that matches dealers’ shipping needs with qualified third-party freight capacities.</w:t>
      </w:r>
    </w:p>
    <w:p>
      <w:pPr>
        <w:spacing w:after="0" w:line="84" w:lineRule="exact"/>
        <w:rPr>
          <w:rFonts w:ascii="Arial" w:cs="Arial" w:eastAsia="Arial" w:hAnsi="Arial"/>
          <w:sz w:val="11"/>
          <w:szCs w:val="11"/>
          <w:color w:val="auto"/>
        </w:rPr>
      </w:pPr>
    </w:p>
    <w:p>
      <w:pPr>
        <w:jc w:val="both"/>
        <w:ind w:left="1800" w:right="1398"/>
        <w:spacing w:after="0" w:line="310" w:lineRule="auto"/>
        <w:rPr>
          <w:rFonts w:ascii="Arial" w:cs="Arial" w:eastAsia="Arial" w:hAnsi="Arial"/>
          <w:sz w:val="11"/>
          <w:szCs w:val="11"/>
          <w:color w:val="auto"/>
        </w:rPr>
      </w:pPr>
      <w:r>
        <w:rPr>
          <w:rFonts w:ascii="Arial" w:cs="Arial" w:eastAsia="Arial" w:hAnsi="Arial"/>
          <w:sz w:val="13"/>
          <w:szCs w:val="13"/>
          <w:color w:val="auto"/>
        </w:rPr>
        <w:t>The market size of the delivery services in China’s used car market reached RMB12.3 billion in 2025 and is expected to grow at a CAGR of 7.6% to RMB17.7 billion in 2030, according to CIC.</w:t>
      </w:r>
    </w:p>
    <w:p>
      <w:pPr>
        <w:spacing w:after="0" w:line="30" w:lineRule="exact"/>
        <w:rPr>
          <w:rFonts w:ascii="Arial" w:cs="Arial" w:eastAsia="Arial" w:hAnsi="Arial"/>
          <w:sz w:val="11"/>
          <w:szCs w:val="11"/>
          <w:color w:val="auto"/>
        </w:rPr>
      </w:pPr>
    </w:p>
    <w:p>
      <w:pPr>
        <w:ind w:left="1800" w:hanging="136"/>
        <w:spacing w:after="0"/>
        <w:tabs>
          <w:tab w:leader="none" w:pos="1800" w:val="left"/>
        </w:tabs>
        <w:numPr>
          <w:ilvl w:val="0"/>
          <w:numId w:val="77"/>
        </w:numPr>
        <w:rPr>
          <w:rFonts w:ascii="Arial" w:cs="Arial" w:eastAsia="Arial" w:hAnsi="Arial"/>
          <w:sz w:val="11"/>
          <w:szCs w:val="11"/>
          <w:color w:val="auto"/>
        </w:rPr>
      </w:pPr>
      <w:r>
        <w:rPr>
          <w:rFonts w:ascii="Arial" w:cs="Arial" w:eastAsia="Arial" w:hAnsi="Arial"/>
          <w:sz w:val="14"/>
          <w:szCs w:val="14"/>
          <w:i w:val="1"/>
          <w:iCs w:val="1"/>
          <w:u w:val="single" w:color="auto"/>
          <w:color w:val="auto"/>
        </w:rPr>
        <w:t>Financial Product Referral Services</w:t>
      </w:r>
    </w:p>
    <w:p>
      <w:pPr>
        <w:spacing w:after="0" w:line="106" w:lineRule="exact"/>
        <w:rPr>
          <w:rFonts w:ascii="Arial" w:cs="Arial" w:eastAsia="Arial" w:hAnsi="Arial"/>
          <w:sz w:val="11"/>
          <w:szCs w:val="11"/>
          <w:color w:val="auto"/>
        </w:rPr>
      </w:pPr>
    </w:p>
    <w:p>
      <w:pPr>
        <w:ind w:left="1800" w:right="1398"/>
        <w:spacing w:after="0" w:line="271" w:lineRule="auto"/>
        <w:rPr>
          <w:rFonts w:ascii="Arial" w:cs="Arial" w:eastAsia="Arial" w:hAnsi="Arial"/>
          <w:sz w:val="11"/>
          <w:szCs w:val="11"/>
          <w:color w:val="auto"/>
        </w:rPr>
      </w:pPr>
      <w:r>
        <w:rPr>
          <w:rFonts w:ascii="Arial" w:cs="Arial" w:eastAsia="Arial" w:hAnsi="Arial"/>
          <w:sz w:val="14"/>
          <w:szCs w:val="14"/>
          <w:color w:val="auto"/>
        </w:rPr>
        <w:t>Used car financing is a rapidly growing market, giving rise to services that directly connect auto merchants and their customers to the end-buyers.</w:t>
      </w:r>
    </w:p>
    <w:p>
      <w:pPr>
        <w:spacing w:after="0" w:line="61" w:lineRule="exact"/>
        <w:rPr>
          <w:rFonts w:ascii="Arial" w:cs="Arial" w:eastAsia="Arial" w:hAnsi="Arial"/>
          <w:sz w:val="11"/>
          <w:szCs w:val="11"/>
          <w:color w:val="auto"/>
        </w:rPr>
      </w:pPr>
    </w:p>
    <w:p>
      <w:pPr>
        <w:jc w:val="both"/>
        <w:ind w:left="1800" w:right="1398"/>
        <w:spacing w:after="0" w:line="245" w:lineRule="auto"/>
        <w:rPr>
          <w:rFonts w:ascii="Arial" w:cs="Arial" w:eastAsia="Arial" w:hAnsi="Arial"/>
          <w:sz w:val="11"/>
          <w:szCs w:val="11"/>
          <w:color w:val="auto"/>
        </w:rPr>
      </w:pPr>
      <w:r>
        <w:rPr>
          <w:rFonts w:ascii="Arial" w:cs="Arial" w:eastAsia="Arial" w:hAnsi="Arial"/>
          <w:sz w:val="14"/>
          <w:szCs w:val="14"/>
          <w:color w:val="auto"/>
        </w:rPr>
        <w:t>The market size of the financial product referral services in China’s used car market encompasses revenue streams earned by all market participants in order to capture the full scope of economic activity within the same market, reached RMB57.6 billion in 2025 and is expected to grow at a CAGR of 11.0% to RMB97.1 billion in 2030, according to CIC.</w:t>
      </w:r>
    </w:p>
    <w:p>
      <w:pPr>
        <w:spacing w:after="0" w:line="70" w:lineRule="exact"/>
        <w:rPr>
          <w:rFonts w:ascii="Arial" w:cs="Arial" w:eastAsia="Arial" w:hAnsi="Arial"/>
          <w:sz w:val="11"/>
          <w:szCs w:val="11"/>
          <w:color w:val="auto"/>
        </w:rPr>
      </w:pPr>
    </w:p>
    <w:p>
      <w:pPr>
        <w:ind w:left="1800" w:hanging="136"/>
        <w:spacing w:after="0"/>
        <w:tabs>
          <w:tab w:leader="none" w:pos="1800" w:val="left"/>
        </w:tabs>
        <w:numPr>
          <w:ilvl w:val="0"/>
          <w:numId w:val="77"/>
        </w:numPr>
        <w:rPr>
          <w:rFonts w:ascii="Arial" w:cs="Arial" w:eastAsia="Arial" w:hAnsi="Arial"/>
          <w:sz w:val="11"/>
          <w:szCs w:val="11"/>
          <w:color w:val="auto"/>
        </w:rPr>
      </w:pPr>
      <w:r>
        <w:rPr>
          <w:rFonts w:ascii="Arial" w:cs="Arial" w:eastAsia="Arial" w:hAnsi="Arial"/>
          <w:sz w:val="14"/>
          <w:szCs w:val="14"/>
          <w:i w:val="1"/>
          <w:iCs w:val="1"/>
          <w:u w:val="single" w:color="auto"/>
          <w:color w:val="auto"/>
        </w:rPr>
        <w:t>Used Car Recondition Services</w:t>
      </w:r>
    </w:p>
    <w:p>
      <w:pPr>
        <w:spacing w:after="0" w:line="106" w:lineRule="exact"/>
        <w:rPr>
          <w:rFonts w:ascii="Arial" w:cs="Arial" w:eastAsia="Arial" w:hAnsi="Arial"/>
          <w:sz w:val="11"/>
          <w:szCs w:val="11"/>
          <w:color w:val="auto"/>
        </w:rPr>
      </w:pPr>
    </w:p>
    <w:p>
      <w:pPr>
        <w:jc w:val="both"/>
        <w:ind w:left="1800" w:right="1398"/>
        <w:spacing w:after="0" w:line="239" w:lineRule="auto"/>
        <w:rPr>
          <w:rFonts w:ascii="Arial" w:cs="Arial" w:eastAsia="Arial" w:hAnsi="Arial"/>
          <w:sz w:val="11"/>
          <w:szCs w:val="11"/>
          <w:color w:val="auto"/>
        </w:rPr>
      </w:pPr>
      <w:r>
        <w:rPr>
          <w:rFonts w:ascii="Arial" w:cs="Arial" w:eastAsia="Arial" w:hAnsi="Arial"/>
          <w:sz w:val="14"/>
          <w:szCs w:val="14"/>
          <w:color w:val="auto"/>
        </w:rPr>
        <w:t>Used car recondition services refer to a range of processes and procedures that are performed on a pre-owned or used vehicle to improve its condition and appearance. These services are typically offered by automotive dealerships or specialized reconditioning companies. The market size of used car reconditioning services in China’s used car market reached RMB29.8 billion in 2025 and is expected to grow at a CAGR of 15.9% to RMB62.5 billion in 2030, according to CIC.</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77"/>
        </w:numPr>
        <w:rPr>
          <w:rFonts w:ascii="Arial" w:cs="Arial" w:eastAsia="Arial" w:hAnsi="Arial"/>
          <w:sz w:val="11"/>
          <w:szCs w:val="11"/>
          <w:color w:val="auto"/>
        </w:rPr>
      </w:pPr>
      <w:r>
        <w:rPr>
          <w:rFonts w:ascii="Arial" w:cs="Arial" w:eastAsia="Arial" w:hAnsi="Arial"/>
          <w:sz w:val="14"/>
          <w:szCs w:val="14"/>
          <w:i w:val="1"/>
          <w:iCs w:val="1"/>
          <w:u w:val="single" w:color="auto"/>
          <w:color w:val="auto"/>
        </w:rPr>
        <w:t>Marketing Services</w:t>
      </w:r>
    </w:p>
    <w:p>
      <w:pPr>
        <w:spacing w:after="0" w:line="96" w:lineRule="exact"/>
        <w:rPr>
          <w:rFonts w:ascii="Arial" w:cs="Arial" w:eastAsia="Arial" w:hAnsi="Arial"/>
          <w:sz w:val="11"/>
          <w:szCs w:val="11"/>
          <w:color w:val="auto"/>
        </w:rPr>
      </w:pPr>
    </w:p>
    <w:p>
      <w:pPr>
        <w:jc w:val="both"/>
        <w:ind w:left="1800" w:right="1398"/>
        <w:spacing w:after="0" w:line="241" w:lineRule="auto"/>
        <w:rPr>
          <w:rFonts w:ascii="Arial" w:cs="Arial" w:eastAsia="Arial" w:hAnsi="Arial"/>
          <w:sz w:val="11"/>
          <w:szCs w:val="11"/>
          <w:color w:val="auto"/>
        </w:rPr>
      </w:pPr>
      <w:r>
        <w:rPr>
          <w:rFonts w:ascii="Arial" w:cs="Arial" w:eastAsia="Arial" w:hAnsi="Arial"/>
          <w:sz w:val="14"/>
          <w:szCs w:val="14"/>
          <w:color w:val="auto"/>
        </w:rPr>
        <w:t>The popularity of digital marketing tools for used car dealers has experienced a rapid surge as an increasing number of used car dealers and consumers begin to leverage the Internet to research and buy used cars. By utilizing online channels, marketing services help used car dealers expand their reach to a broader audience, provide in-depth information regarding their inventory, and establish credibility among potential customers.</w:t>
      </w:r>
    </w:p>
    <w:p>
      <w:pPr>
        <w:spacing w:after="0" w:line="84" w:lineRule="exact"/>
        <w:rPr>
          <w:rFonts w:ascii="Arial" w:cs="Arial" w:eastAsia="Arial" w:hAnsi="Arial"/>
          <w:sz w:val="11"/>
          <w:szCs w:val="11"/>
          <w:color w:val="auto"/>
        </w:rPr>
      </w:pPr>
    </w:p>
    <w:p>
      <w:pPr>
        <w:jc w:val="both"/>
        <w:ind w:left="1800" w:right="1398"/>
        <w:spacing w:after="0" w:line="251" w:lineRule="auto"/>
        <w:rPr>
          <w:rFonts w:ascii="Arial" w:cs="Arial" w:eastAsia="Arial" w:hAnsi="Arial"/>
          <w:sz w:val="11"/>
          <w:szCs w:val="11"/>
          <w:color w:val="auto"/>
        </w:rPr>
      </w:pPr>
      <w:r>
        <w:rPr>
          <w:rFonts w:ascii="Arial" w:cs="Arial" w:eastAsia="Arial" w:hAnsi="Arial"/>
          <w:sz w:val="14"/>
          <w:szCs w:val="14"/>
          <w:color w:val="auto"/>
        </w:rPr>
        <w:t>The market size of marketing services in China’s used car market reached RMB53.5 billion in 2025 and is expected to grow at a CAGR of 13.6% to RMB101.1 billion in 2030, according to CIC.</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China’s used car service market has grown significantly in recent years. The market size of China’s used car service market grew rapidly from RMB101.3 billion in 2020 to RMB183.7 billion in 2025, at a CAGR of 12.7%, and is expected to grow at a CAGR of 12.9% from 2025 to 2030, which is significantly higher than the growth rate of the used car sales market during the same period, according to CIC.</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8" w:name="page179"/>
    <w:bookmarkEnd w:id="17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chart below sets forth the size of China’s used car service market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50800</wp:posOffset>
            </wp:positionV>
            <wp:extent cx="3946525" cy="17132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46525" cy="171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Challenges and Opportunities in China’s Used Car Market</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Used car dealers in China have been faced with a range of major challenges, including:</w:t>
      </w:r>
    </w:p>
    <w:p>
      <w:pPr>
        <w:spacing w:after="0" w:line="98" w:lineRule="exact"/>
        <w:rPr>
          <w:sz w:val="20"/>
          <w:szCs w:val="20"/>
          <w:color w:val="auto"/>
        </w:rPr>
      </w:pPr>
    </w:p>
    <w:p>
      <w:pPr>
        <w:jc w:val="both"/>
        <w:ind w:left="1800" w:right="1398" w:hanging="136"/>
        <w:spacing w:after="0" w:line="238" w:lineRule="auto"/>
        <w:tabs>
          <w:tab w:leader="none" w:pos="1804" w:val="left"/>
        </w:tabs>
        <w:numPr>
          <w:ilvl w:val="0"/>
          <w:numId w:val="78"/>
        </w:numPr>
        <w:rPr>
          <w:rFonts w:ascii="Arial" w:cs="Arial" w:eastAsia="Arial" w:hAnsi="Arial"/>
          <w:sz w:val="11"/>
          <w:szCs w:val="11"/>
          <w:color w:val="auto"/>
        </w:rPr>
      </w:pPr>
      <w:r>
        <w:rPr>
          <w:rFonts w:ascii="Arial" w:cs="Arial" w:eastAsia="Arial" w:hAnsi="Arial"/>
          <w:sz w:val="14"/>
          <w:szCs w:val="14"/>
          <w:i w:val="1"/>
          <w:iCs w:val="1"/>
          <w:u w:val="single" w:color="auto"/>
          <w:color w:val="auto"/>
        </w:rPr>
        <w:t>Natural mismatch between supply and demand</w:t>
      </w:r>
      <w:r>
        <w:rPr>
          <w:rFonts w:ascii="Arial" w:cs="Arial" w:eastAsia="Arial" w:hAnsi="Arial"/>
          <w:sz w:val="14"/>
          <w:szCs w:val="14"/>
          <w:i w:val="1"/>
          <w:iCs w:val="1"/>
          <w:color w:val="auto"/>
        </w:rPr>
        <w:t xml:space="preserve">. </w:t>
      </w:r>
      <w:r>
        <w:rPr>
          <w:rFonts w:ascii="Arial" w:cs="Arial" w:eastAsia="Arial" w:hAnsi="Arial"/>
          <w:sz w:val="14"/>
          <w:szCs w:val="14"/>
          <w:color w:val="auto"/>
        </w:rPr>
        <w:t>Used car supply comes from individual</w:t>
      </w:r>
      <w:r>
        <w:rPr>
          <w:rFonts w:ascii="Arial" w:cs="Arial" w:eastAsia="Arial" w:hAnsi="Arial"/>
          <w:sz w:val="14"/>
          <w:szCs w:val="14"/>
          <w:i w:val="1"/>
          <w:iCs w:val="1"/>
          <w:color w:val="auto"/>
        </w:rPr>
        <w:t xml:space="preserve"> </w:t>
      </w:r>
      <w:r>
        <w:rPr>
          <w:rFonts w:ascii="Arial" w:cs="Arial" w:eastAsia="Arial" w:hAnsi="Arial"/>
          <w:sz w:val="14"/>
          <w:szCs w:val="14"/>
          <w:color w:val="auto"/>
        </w:rPr>
        <w:t>consumers, and therefore is random and dispersed in nature. It has been a great challenge from many used car dealers to source inventory that match their sales opportunities. The lack of standardization and coordination among used car dealers makes it even more difficult for them to access a consistent and reliable supply of used cars. Used car dealers often have to rely on less efficient methods, such as word-of-mouth referrals from acquaintances to acquire used car sources.</w:t>
      </w:r>
    </w:p>
    <w:p>
      <w:pPr>
        <w:spacing w:after="0" w:line="86"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78"/>
        </w:numPr>
        <w:rPr>
          <w:rFonts w:ascii="Arial" w:cs="Arial" w:eastAsia="Arial" w:hAnsi="Arial"/>
          <w:sz w:val="11"/>
          <w:szCs w:val="11"/>
          <w:color w:val="auto"/>
        </w:rPr>
      </w:pPr>
      <w:r>
        <w:rPr>
          <w:rFonts w:ascii="Arial" w:cs="Arial" w:eastAsia="Arial" w:hAnsi="Arial"/>
          <w:sz w:val="14"/>
          <w:szCs w:val="14"/>
          <w:i w:val="1"/>
          <w:iCs w:val="1"/>
          <w:u w:val="single" w:color="auto"/>
          <w:color w:val="auto"/>
        </w:rPr>
        <w:t>Inefficient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Many used car dealers operate without the benefit of modern</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technology. Key aspects of their operations, from inventory sourcing to inventory management, to leads generation and customer management, to internal administration and financial analysis, are nearly all offline with key operational information scattered, unconnected and unanalyzable. The disconnection between used car dealers’ lack of ability to digitalize individually and their need for means to improve efficiency has hindered the development of the used car industry in China.</w:t>
      </w:r>
    </w:p>
    <w:p>
      <w:pPr>
        <w:spacing w:after="0" w:line="75" w:lineRule="exact"/>
        <w:rPr>
          <w:rFonts w:ascii="Arial" w:cs="Arial" w:eastAsia="Arial" w:hAnsi="Arial"/>
          <w:sz w:val="11"/>
          <w:szCs w:val="11"/>
          <w:color w:val="auto"/>
        </w:rPr>
      </w:pPr>
    </w:p>
    <w:p>
      <w:pPr>
        <w:jc w:val="both"/>
        <w:ind w:left="1800" w:right="1398" w:hanging="136"/>
        <w:spacing w:after="0" w:line="237" w:lineRule="auto"/>
        <w:tabs>
          <w:tab w:leader="none" w:pos="1804" w:val="left"/>
        </w:tabs>
        <w:numPr>
          <w:ilvl w:val="0"/>
          <w:numId w:val="78"/>
        </w:numPr>
        <w:rPr>
          <w:rFonts w:ascii="Arial" w:cs="Arial" w:eastAsia="Arial" w:hAnsi="Arial"/>
          <w:sz w:val="11"/>
          <w:szCs w:val="11"/>
          <w:color w:val="auto"/>
        </w:rPr>
      </w:pPr>
      <w:r>
        <w:rPr>
          <w:rFonts w:ascii="Arial" w:cs="Arial" w:eastAsia="Arial" w:hAnsi="Arial"/>
          <w:sz w:val="14"/>
          <w:szCs w:val="14"/>
          <w:i w:val="1"/>
          <w:iCs w:val="1"/>
          <w:u w:val="single" w:color="auto"/>
          <w:color w:val="auto"/>
        </w:rPr>
        <w:t>Challenging collaborations</w:t>
      </w:r>
      <w:r>
        <w:rPr>
          <w:rFonts w:ascii="Arial" w:cs="Arial" w:eastAsia="Arial" w:hAnsi="Arial"/>
          <w:sz w:val="14"/>
          <w:szCs w:val="14"/>
          <w:i w:val="1"/>
          <w:iCs w:val="1"/>
          <w:color w:val="auto"/>
        </w:rPr>
        <w:t xml:space="preserve">. </w:t>
      </w:r>
      <w:r>
        <w:rPr>
          <w:rFonts w:ascii="Arial" w:cs="Arial" w:eastAsia="Arial" w:hAnsi="Arial"/>
          <w:sz w:val="14"/>
          <w:szCs w:val="14"/>
          <w:color w:val="auto"/>
        </w:rPr>
        <w:t>Used car sales is inherently a complex business, the success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requires high levels of informational and operational coordination involving a diverse range of collaborators (i.e., providers of key services), both online and offline. Yet very few used car dealers in China have the scale or resources to effectively coordinate these collaborators. Large-scale collaborators, such as financial institutions, often lack the expertise and local presence to reach the small and geographically dispersed dealers effectively. On the other hand, numerous smaller collaborators, such as individual inspectors or transporters, are themselves small in scale, geographically dispersed, and offer little assurance of quality or reliability, adding implicit costs to used car dealers.</w:t>
      </w:r>
    </w:p>
    <w:p>
      <w:pPr>
        <w:spacing w:after="0" w:line="8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light of these challenges, used car dealers face the pressing need for advanced digital solutions and services that help reduce inefficiencies and enhance operations and profitability. Recognizing this need, companies like DSC have emerged to offer digital solutions specifically designed to digitalize and streamline used car dealers’ operations, facilitate their inventory sourcing and management efforts and effectively enable them to engage with a diverse array of collaborators.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79" w:name="page180"/>
    <w:bookmarkEnd w:id="17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TAM for China’s Used Car AI Agents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AI agents in China’s used car industry are increasingly participating in transaction execution and dealer operations, supporting functions such as vehicle matching, pricing, sourcing, procurement and sales activities. The commercial value of AI agents in China’s used car industry may primarily be derived from transaction execution and dealer efficiency improvement. According to CIC, the total addressable market for AI agents in China’s used car industry reached RMB28.2 billion in 2025, in terms of transaction service fees generated from AI-enabled transactions. In addition, in terms of the expenditure associated with procurement and sales activities that may potentially be automated by AI agents, the total addressable market reached RMB23.9 billion in 2025.</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China’s New Car Market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Overview of China’s New Car Market</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China has been the world’s largest new car market since 2009 in terms of transaction volume, driven by its sustained economic growth and accelerated urbanization, according to CIC.</w:t>
      </w:r>
    </w:p>
    <w:p>
      <w:pPr>
        <w:spacing w:after="0" w:line="6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chart below illustrates the total volume and value of new car sales in China for the periods indicated. The fluctuations between 2019 and 2020 were due to several factors, including the implementation of new emission standards, cancellation of subsidies for EV, and the COVID-19 epidemic.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55880</wp:posOffset>
            </wp:positionV>
            <wp:extent cx="3946525" cy="15220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946525" cy="152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total sales volume of EVs in China has increased drastically from 1.2 million units in 2020 to 15.5 million units in 2025 at a CAGR of 66.8% and is expected to further grow and reach 32.2 million units in 2030, according to CIC. Moreover, the sales volume of EVs as a percentage of total sales volume of new cars in China also increased from 5.8% in 2020 to 51.6% in 2025, according to CIC. The chart below shows the total sales volume of EVs both in absolute amount and as a percentage of total new car sales volume in China for the periods indicated.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0" w:name="page181"/>
    <w:bookmarkEnd w:id="18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74295</wp:posOffset>
            </wp:positionV>
            <wp:extent cx="3946525" cy="17329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946525" cy="173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rise of Chinese EV brands is spearheading a transformative shift away from the traditional new car sales model, which has long been centered around authorized dealers, towards a more direct-to-consumer (DTC) sales approach. With EVs, OEMs can have ongoing direct interactions with consumers as the vehicles themselves generate valuable data on the vehicle performance, while consumers actively download OEMs’ mobile applications to fully optimize their EVs’ functionalities. Under the DTC sales model, the role of OEMs is transitioning from being solely “auto manufacturers and wholesalers” to encompassing “auto manufacturers and retailers,” as consumers now have the option to purchase new cars directly from the OEMs.</w:t>
      </w:r>
    </w:p>
    <w:p>
      <w:pPr>
        <w:spacing w:after="0" w:line="87"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With the DTC sales model, OEMs directly interact and transact with consumers, and are encouraged to explore new areas of operation, including leads conversion, order-driven manufacturing, car delivery and after -sales services, all with a focus on engaging directly with customers. This streamlined approach not only allows OEMs to reduce sales costs but also enables them to set higher price points while fostering direct customer relationships. New car brokers, who facilitate sales between OEMs and consumers, will play a more important role under the DTC sales model, especially in lower-tier cities where the reach of OEMs and authorized dealers is often limited.</w:t>
      </w:r>
    </w:p>
    <w:p>
      <w:pPr>
        <w:spacing w:after="0" w:line="6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With the rise of the DTC sales model, digital platforms and social media as marketing channels for new car sales are gaining traction rapidly. These digital marketing solutions also enable OEMs to gather and analyze leads generated from social media, effectively targeting potential customers with improved conversion rates.</w:t>
      </w:r>
    </w:p>
    <w:p>
      <w:pPr>
        <w:spacing w:after="0" w:line="7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As direct online car sales become increasingly prevalent in China, OEMs are seeking third-party providers of services, such as delivery, transportation and warehousing services, to help them deliver the vehicles directly to individual end-consumers.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1" w:name="page182"/>
    <w:bookmarkEnd w:id="18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Key Participants and Key Services of China’s New Car Market</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diagram below illustrates the key participants and commerce flow of new car market in China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51435</wp:posOffset>
            </wp:positionV>
            <wp:extent cx="3946525" cy="1818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946525" cy="181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Key Participants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Key participants in China’s new car market include OEMs, authorized dealers and new car brokers.</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OEMs</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OEMs are the manufacturers of new cars and the first link on the value chain of new car sales.</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of December 31, 2025, the Chinese automotive market comprised a total of 102 OEMs, with 57.8% of them producing 10,000 units or more annually, according to CIC. This growing market has witnessed a surge in new entrants including EV brands in recent years, intensifying the competition among major Chinese OEMs.</w:t>
      </w:r>
    </w:p>
    <w:p>
      <w:pPr>
        <w:spacing w:after="0" w:line="6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2025, 76.5% of the OEMs operating in China are domestic brands, while 23.5% are international brands, according to CIC. The percentage of domestic brands has witnessed an increase from 68.8% in 2017, signaling a rise in the prominence of homegrown manufacturers. Furthermore, the number of EV brands has also seen significant growth, rising from 80 in 2018 to 109 in 2025. This includes 49 pure EV brands and 60 conventional ICE brands that have newly established EV production lines, according to CIC.</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Authorized Dealers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Authorized dealers are dealers that enter into franchise agreements with OEMs to facilitate the sale of new cars to consumers within specific markets.</w:t>
      </w:r>
    </w:p>
    <w:p>
      <w:pPr>
        <w:spacing w:after="0" w:line="6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Authorized dealers purchase cars from OEMs for sales to consumers, either directly or through contracted new car brokers located in lower-tier cities. A majority of authorized dealers operate in tier-1 and tier -2 cities at varying scales, ranging from single stores in specific cities to large chain stores spanning multiple provinces.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2" w:name="page183"/>
    <w:bookmarkEnd w:id="18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Historically, authorized dealers played a central role in the new car market in China, accounting for a significant percentage of the country’s total new car sales. These dealerships are also instrumental to managing customer interactions and the overall brand experience for OEMs through providing aftermarket services and other customer support. However, the importance of authorized dealers has faced challenges with the ascent of the DTC sales model, as digital commerce allows OEMs to directly engage with end-consumers. Authorized dealers’ share in China’s total new car sales volume has declined from approximately 57.8% in 2020 to 42.6% in 2025, according to CIC.</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New Car Brokers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New car brokers are individuals and businesses engaging in new car sales to consumers, especially in lower tier cities. New car brokers typically do not have a formal relationship with OEMs and generally do not take inventory of new cars.</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New car brokers have a distinctive role within the Chinese automotive market, one that lacks a directly comparable counterpart in the U.S. or European markets. In lower-tier cities across China where the sales channels of OEMs and authorized dealers may not reach, new car brokers play a critical role in facilitating new car sales. Their deep understanding of local market conditions, including consumer preferences, purchasing habits and brand choices, positions them as key intermediaries in connecting car buyers and sellers.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New car brokers are generally SMEs, often consisting of the owner and a few employees, and rely on word-of-mouth referrals from acquaintances in their respective local markets to drive sales. However, in the age of digital marketing, many new car brokers have moved their sales leads generation efforts online and broadened their sales coverage.</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As OEMs transition to the DTC sales model, new car brokers have emerged as a crucial link within the automotive ecosystem as they facilitate OEMs’ direct interactions with consumers, particularly in lower-tier cities. As of December 31, 2025, there were over 100,000 new car brokers in China, and their contributions to the total new car sales volume in China has increased from approximately 40.2% in 2020 and 45.1% in 2025, according to CIC.</w:t>
      </w:r>
    </w:p>
    <w:p>
      <w:pPr>
        <w:spacing w:after="0" w:line="8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chart below shows the contributions of authorized dealers and new car brokers to China’s total new car sales volumes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44450</wp:posOffset>
            </wp:positionV>
            <wp:extent cx="3946525" cy="15881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4652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3" w:name="page184"/>
    <w:bookmarkEnd w:id="18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Key Services</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Key services in China’s new car market include digitalization solutions and transaction services.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Digitalization Solutions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Digitalization plays a crucial role in enabling new car auto merchants to enhance operational efficiency, drive sales, and maintain competitiveness in the market.</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New car auto merchants in China have achieved varied levels of digitalization, depending on their scales and business models. OEMs have the highest level of digitalization for their operations, given the complexity of their business models. OEMs are expected to continue to invest in upgrading their digital capabilities to adapt to evolving business needs and customer preferences. Authorized dealers, especially the larger ones, have also made significant progress in digitalization, benefiting from their close collaboration with OEMs and relatively strong financial strengths. In contrast, new car brokers have achieved a very limited level of digitalization, in part due to their individual scale and the lightweight nature of their business model.</w:t>
      </w:r>
    </w:p>
    <w:p>
      <w:pPr>
        <w:spacing w:after="0" w:line="7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market size of digitalization solutions in China’s new car market reached RMB85.8 billion in 2025 and is expected to grow at a CAGR of 5.3% to RMB111.3 billion in 2030, according to CIC.</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Transaction Services</w:t>
      </w:r>
    </w:p>
    <w:p>
      <w:pPr>
        <w:spacing w:after="0" w:line="109" w:lineRule="exact"/>
        <w:rPr>
          <w:sz w:val="20"/>
          <w:szCs w:val="20"/>
          <w:color w:val="auto"/>
        </w:rPr>
      </w:pPr>
    </w:p>
    <w:p>
      <w:pPr>
        <w:ind w:left="1780" w:hanging="116"/>
        <w:spacing w:after="0"/>
        <w:tabs>
          <w:tab w:leader="none" w:pos="1780" w:val="left"/>
        </w:tabs>
        <w:numPr>
          <w:ilvl w:val="0"/>
          <w:numId w:val="79"/>
        </w:numPr>
        <w:rPr>
          <w:rFonts w:ascii="Arial" w:cs="Arial" w:eastAsia="Arial" w:hAnsi="Arial"/>
          <w:sz w:val="14"/>
          <w:szCs w:val="14"/>
          <w:color w:val="auto"/>
        </w:rPr>
      </w:pPr>
      <w:r>
        <w:rPr>
          <w:rFonts w:ascii="Arial" w:cs="Arial" w:eastAsia="Arial" w:hAnsi="Arial"/>
          <w:sz w:val="14"/>
          <w:szCs w:val="14"/>
          <w:i w:val="1"/>
          <w:iCs w:val="1"/>
          <w:u w:val="single" w:color="auto"/>
          <w:color w:val="auto"/>
        </w:rPr>
        <w:t>Marketing Services</w:t>
      </w:r>
    </w:p>
    <w:p>
      <w:pPr>
        <w:spacing w:after="0" w:line="106" w:lineRule="exact"/>
        <w:rPr>
          <w:rFonts w:ascii="Arial" w:cs="Arial" w:eastAsia="Arial" w:hAnsi="Arial"/>
          <w:sz w:val="14"/>
          <w:szCs w:val="14"/>
          <w:color w:val="auto"/>
        </w:rPr>
      </w:pPr>
    </w:p>
    <w:p>
      <w:pPr>
        <w:jc w:val="both"/>
        <w:ind w:left="1800" w:right="1398"/>
        <w:spacing w:after="0" w:line="241" w:lineRule="auto"/>
        <w:rPr>
          <w:rFonts w:ascii="Arial" w:cs="Arial" w:eastAsia="Arial" w:hAnsi="Arial"/>
          <w:sz w:val="14"/>
          <w:szCs w:val="14"/>
          <w:color w:val="auto"/>
        </w:rPr>
      </w:pPr>
      <w:r>
        <w:rPr>
          <w:rFonts w:ascii="Arial" w:cs="Arial" w:eastAsia="Arial" w:hAnsi="Arial"/>
          <w:sz w:val="14"/>
          <w:szCs w:val="14"/>
          <w:color w:val="auto"/>
        </w:rPr>
        <w:t>Leveraging social media platforms and other digital marketing channels, marketing services allow auto merchants to target a large nationwide audience with captivating and innovative marketing tools, effectively acquiring, analyzing and following up with leads. These services range from cultivating Internet influencers, creating short videos and TV shows to making video livestreaming advertisements.</w:t>
      </w:r>
    </w:p>
    <w:p>
      <w:pPr>
        <w:spacing w:after="0" w:line="73" w:lineRule="exact"/>
        <w:rPr>
          <w:rFonts w:ascii="Arial" w:cs="Arial" w:eastAsia="Arial" w:hAnsi="Arial"/>
          <w:sz w:val="14"/>
          <w:szCs w:val="14"/>
          <w:color w:val="auto"/>
        </w:rPr>
      </w:pPr>
    </w:p>
    <w:p>
      <w:pPr>
        <w:jc w:val="both"/>
        <w:ind w:left="1800" w:right="1398"/>
        <w:spacing w:after="0" w:line="239" w:lineRule="auto"/>
        <w:rPr>
          <w:rFonts w:ascii="Arial" w:cs="Arial" w:eastAsia="Arial" w:hAnsi="Arial"/>
          <w:sz w:val="14"/>
          <w:szCs w:val="14"/>
          <w:color w:val="auto"/>
        </w:rPr>
      </w:pPr>
      <w:r>
        <w:rPr>
          <w:rFonts w:ascii="Arial" w:cs="Arial" w:eastAsia="Arial" w:hAnsi="Arial"/>
          <w:sz w:val="14"/>
          <w:szCs w:val="14"/>
          <w:color w:val="auto"/>
        </w:rPr>
        <w:t>While some of these services can be provided by the in-house sales centers of OEMs, there is a growing inclination towards utilizing third-party service providers. With the DTC sales model gaining momentum, OEMs now directly engage in customer-facing interactions. As a strategic move, OEMs are embracing third-party service providers to enhance their marketing capabilities, allowing them to focus on their core priorities while reducing overall marketing expenditure.</w:t>
      </w:r>
    </w:p>
    <w:p>
      <w:pPr>
        <w:spacing w:after="0" w:line="86" w:lineRule="exact"/>
        <w:rPr>
          <w:rFonts w:ascii="Arial" w:cs="Arial" w:eastAsia="Arial" w:hAnsi="Arial"/>
          <w:sz w:val="14"/>
          <w:szCs w:val="14"/>
          <w:color w:val="auto"/>
        </w:rPr>
      </w:pPr>
    </w:p>
    <w:p>
      <w:pPr>
        <w:jc w:val="both"/>
        <w:ind w:left="1800" w:right="1398"/>
        <w:spacing w:after="0" w:line="251" w:lineRule="auto"/>
        <w:rPr>
          <w:rFonts w:ascii="Arial" w:cs="Arial" w:eastAsia="Arial" w:hAnsi="Arial"/>
          <w:sz w:val="14"/>
          <w:szCs w:val="14"/>
          <w:color w:val="auto"/>
        </w:rPr>
      </w:pPr>
      <w:r>
        <w:rPr>
          <w:rFonts w:ascii="Arial" w:cs="Arial" w:eastAsia="Arial" w:hAnsi="Arial"/>
          <w:sz w:val="14"/>
          <w:szCs w:val="14"/>
          <w:color w:val="auto"/>
        </w:rPr>
        <w:t>The market size of marketing services in China’s new car market reached RMB410.2 billion in 2025 and is expected to grow at a CAGR of 10.0% to RMB660.7 billion in 2030, according to CIC.</w:t>
      </w:r>
    </w:p>
    <w:p>
      <w:pPr>
        <w:spacing w:after="0" w:line="77" w:lineRule="exact"/>
        <w:rPr>
          <w:rFonts w:ascii="Arial" w:cs="Arial" w:eastAsia="Arial" w:hAnsi="Arial"/>
          <w:sz w:val="14"/>
          <w:szCs w:val="14"/>
          <w:color w:val="auto"/>
        </w:rPr>
      </w:pPr>
    </w:p>
    <w:p>
      <w:pPr>
        <w:ind w:left="1780" w:hanging="116"/>
        <w:spacing w:after="0"/>
        <w:tabs>
          <w:tab w:leader="none" w:pos="1780" w:val="left"/>
        </w:tabs>
        <w:numPr>
          <w:ilvl w:val="0"/>
          <w:numId w:val="79"/>
        </w:numPr>
        <w:rPr>
          <w:rFonts w:ascii="Arial" w:cs="Arial" w:eastAsia="Arial" w:hAnsi="Arial"/>
          <w:sz w:val="14"/>
          <w:szCs w:val="14"/>
          <w:color w:val="auto"/>
        </w:rPr>
      </w:pPr>
      <w:r>
        <w:rPr>
          <w:rFonts w:ascii="Arial" w:cs="Arial" w:eastAsia="Arial" w:hAnsi="Arial"/>
          <w:sz w:val="14"/>
          <w:szCs w:val="14"/>
          <w:i w:val="1"/>
          <w:iCs w:val="1"/>
          <w:u w:val="single" w:color="auto"/>
          <w:color w:val="auto"/>
        </w:rPr>
        <w:t>Delivery Services</w:t>
      </w:r>
    </w:p>
    <w:p>
      <w:pPr>
        <w:spacing w:after="0" w:line="96" w:lineRule="exact"/>
        <w:rPr>
          <w:rFonts w:ascii="Arial" w:cs="Arial" w:eastAsia="Arial" w:hAnsi="Arial"/>
          <w:sz w:val="14"/>
          <w:szCs w:val="14"/>
          <w:color w:val="auto"/>
        </w:rPr>
      </w:pPr>
    </w:p>
    <w:p>
      <w:pPr>
        <w:jc w:val="both"/>
        <w:ind w:left="1800" w:right="1398"/>
        <w:spacing w:after="0" w:line="239" w:lineRule="auto"/>
        <w:rPr>
          <w:rFonts w:ascii="Arial" w:cs="Arial" w:eastAsia="Arial" w:hAnsi="Arial"/>
          <w:sz w:val="14"/>
          <w:szCs w:val="14"/>
          <w:color w:val="auto"/>
        </w:rPr>
      </w:pPr>
      <w:r>
        <w:rPr>
          <w:rFonts w:ascii="Arial" w:cs="Arial" w:eastAsia="Arial" w:hAnsi="Arial"/>
          <w:sz w:val="14"/>
          <w:szCs w:val="14"/>
          <w:color w:val="auto"/>
        </w:rPr>
        <w:t>Delivery services involve services provided throughout the entire car transportation process, including the shipment, storage and delivery of vehicles from OEMs to the end-consumers. These delivery services are typically provided by dedicated logistics companies, catering to the diverse needs of auto merchants at different stages of new car commerce. The market size of delivery services in China’s new car market reached RMB50.0 billion in 2025 and is expected to grow at a CAGR of 13.3% to RMB93.6 billion in 2030, according to CIC.</w:t>
      </w:r>
    </w:p>
    <w:p>
      <w:pPr>
        <w:spacing w:after="0" w:line="88" w:lineRule="exact"/>
        <w:rPr>
          <w:rFonts w:ascii="Arial" w:cs="Arial" w:eastAsia="Arial" w:hAnsi="Arial"/>
          <w:sz w:val="14"/>
          <w:szCs w:val="14"/>
          <w:color w:val="auto"/>
        </w:rPr>
      </w:pPr>
    </w:p>
    <w:p>
      <w:pPr>
        <w:ind w:left="1780" w:hanging="116"/>
        <w:spacing w:after="0"/>
        <w:tabs>
          <w:tab w:leader="none" w:pos="1780" w:val="left"/>
        </w:tabs>
        <w:numPr>
          <w:ilvl w:val="0"/>
          <w:numId w:val="79"/>
        </w:numPr>
        <w:rPr>
          <w:rFonts w:ascii="Arial" w:cs="Arial" w:eastAsia="Arial" w:hAnsi="Arial"/>
          <w:sz w:val="14"/>
          <w:szCs w:val="14"/>
          <w:color w:val="auto"/>
        </w:rPr>
      </w:pPr>
      <w:r>
        <w:rPr>
          <w:rFonts w:ascii="Arial" w:cs="Arial" w:eastAsia="Arial" w:hAnsi="Arial"/>
          <w:sz w:val="14"/>
          <w:szCs w:val="14"/>
          <w:i w:val="1"/>
          <w:iCs w:val="1"/>
          <w:u w:val="single" w:color="auto"/>
          <w:color w:val="auto"/>
        </w:rPr>
        <w:t>New Car Ancillary Services</w:t>
      </w:r>
    </w:p>
    <w:p>
      <w:pPr>
        <w:spacing w:after="0" w:line="106" w:lineRule="exact"/>
        <w:rPr>
          <w:rFonts w:ascii="Arial" w:cs="Arial" w:eastAsia="Arial" w:hAnsi="Arial"/>
          <w:sz w:val="14"/>
          <w:szCs w:val="14"/>
          <w:color w:val="auto"/>
        </w:rPr>
      </w:pPr>
    </w:p>
    <w:p>
      <w:pPr>
        <w:jc w:val="both"/>
        <w:ind w:left="1800" w:right="1398"/>
        <w:spacing w:after="0" w:line="239" w:lineRule="auto"/>
        <w:rPr>
          <w:rFonts w:ascii="Arial" w:cs="Arial" w:eastAsia="Arial" w:hAnsi="Arial"/>
          <w:sz w:val="14"/>
          <w:szCs w:val="14"/>
          <w:color w:val="auto"/>
        </w:rPr>
      </w:pPr>
      <w:r>
        <w:rPr>
          <w:rFonts w:ascii="Arial" w:cs="Arial" w:eastAsia="Arial" w:hAnsi="Arial"/>
          <w:sz w:val="14"/>
          <w:szCs w:val="14"/>
          <w:color w:val="auto"/>
        </w:rPr>
        <w:t>New car ancillary services refer to a set of procedures and treatments performed on a brand-new vehicle to enhance its appearance and protect it from potential wear and damage, such as, among others, vehicle wrap and window tinting. These services are typically offered by automotive dealerships, or specialized maintenance centers. The market size of new car ancillary services in China’s new car market reached RMB156.0 billion in 2025 and is expected to grow at a CAGR of 5.1% to RMB200.4 billion in 2030, according to CIC.</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4" w:name="page185"/>
    <w:bookmarkEnd w:id="18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0" w:lineRule="exact"/>
        <w:rPr>
          <w:sz w:val="20"/>
          <w:szCs w:val="20"/>
          <w:color w:val="auto"/>
        </w:rPr>
      </w:pPr>
    </w:p>
    <w:p>
      <w:pPr>
        <w:ind w:left="1780" w:hanging="116"/>
        <w:spacing w:after="0"/>
        <w:tabs>
          <w:tab w:leader="none" w:pos="1780" w:val="left"/>
        </w:tabs>
        <w:numPr>
          <w:ilvl w:val="0"/>
          <w:numId w:val="80"/>
        </w:numPr>
        <w:rPr>
          <w:rFonts w:ascii="Arial" w:cs="Arial" w:eastAsia="Arial" w:hAnsi="Arial"/>
          <w:sz w:val="14"/>
          <w:szCs w:val="14"/>
          <w:color w:val="auto"/>
        </w:rPr>
      </w:pPr>
      <w:r>
        <w:rPr>
          <w:rFonts w:ascii="Arial" w:cs="Arial" w:eastAsia="Arial" w:hAnsi="Arial"/>
          <w:sz w:val="14"/>
          <w:szCs w:val="14"/>
          <w:i w:val="1"/>
          <w:iCs w:val="1"/>
          <w:u w:val="single" w:color="auto"/>
          <w:color w:val="auto"/>
        </w:rPr>
        <w:t>Financial Product Referral Services</w:t>
      </w:r>
    </w:p>
    <w:p>
      <w:pPr>
        <w:spacing w:after="0" w:line="106" w:lineRule="exact"/>
        <w:rPr>
          <w:rFonts w:ascii="Arial" w:cs="Arial" w:eastAsia="Arial" w:hAnsi="Arial"/>
          <w:sz w:val="14"/>
          <w:szCs w:val="14"/>
          <w:color w:val="auto"/>
        </w:rPr>
      </w:pPr>
    </w:p>
    <w:p>
      <w:pPr>
        <w:jc w:val="both"/>
        <w:ind w:left="1800" w:right="1398"/>
        <w:spacing w:after="0" w:line="245" w:lineRule="auto"/>
        <w:rPr>
          <w:rFonts w:ascii="Arial" w:cs="Arial" w:eastAsia="Arial" w:hAnsi="Arial"/>
          <w:sz w:val="14"/>
          <w:szCs w:val="14"/>
          <w:color w:val="auto"/>
        </w:rPr>
      </w:pPr>
      <w:r>
        <w:rPr>
          <w:rFonts w:ascii="Arial" w:cs="Arial" w:eastAsia="Arial" w:hAnsi="Arial"/>
          <w:sz w:val="14"/>
          <w:szCs w:val="14"/>
          <w:color w:val="auto"/>
        </w:rPr>
        <w:t>With the emergence of the DTC sales model, the demand for financial product referral services is rapidly growing in China’s new car market. In addition to directly connecting auto merchants to the end buyers, these services allow consumers to complete key financing steps online, making financing an integral part of the car buying process.</w:t>
      </w:r>
    </w:p>
    <w:p>
      <w:pPr>
        <w:spacing w:after="0" w:line="79" w:lineRule="exact"/>
        <w:rPr>
          <w:rFonts w:ascii="Arial" w:cs="Arial" w:eastAsia="Arial" w:hAnsi="Arial"/>
          <w:sz w:val="14"/>
          <w:szCs w:val="14"/>
          <w:color w:val="auto"/>
        </w:rPr>
      </w:pPr>
    </w:p>
    <w:p>
      <w:pPr>
        <w:jc w:val="both"/>
        <w:ind w:left="1800" w:right="1398"/>
        <w:spacing w:after="0" w:line="251" w:lineRule="auto"/>
        <w:rPr>
          <w:rFonts w:ascii="Arial" w:cs="Arial" w:eastAsia="Arial" w:hAnsi="Arial"/>
          <w:sz w:val="14"/>
          <w:szCs w:val="14"/>
          <w:color w:val="auto"/>
        </w:rPr>
      </w:pPr>
      <w:r>
        <w:rPr>
          <w:rFonts w:ascii="Arial" w:cs="Arial" w:eastAsia="Arial" w:hAnsi="Arial"/>
          <w:sz w:val="14"/>
          <w:szCs w:val="14"/>
          <w:color w:val="auto"/>
        </w:rPr>
        <w:t>The market size of financial product referral services in China’s new car market reached RMB61.3 billion in 2025 and is expected to grow at a CAGR of 12.4% to RMB110.0 billion in 2030, according to CIC.</w:t>
      </w:r>
    </w:p>
    <w:p>
      <w:pPr>
        <w:spacing w:after="0" w:line="6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chart below sets forth the size of China’s new car service market in terms of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51435</wp:posOffset>
            </wp:positionV>
            <wp:extent cx="3946525" cy="16008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46525" cy="160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Challenges and Opportunities in China’s New Car Market</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changing market dynamics in China’s new car sector, particularly the rise of EV, have presented a mix of unique challenges and opportunities to new car merchants, experienced to varying degrees:</w:t>
      </w:r>
    </w:p>
    <w:p>
      <w:pPr>
        <w:spacing w:after="0" w:line="66" w:lineRule="exact"/>
        <w:rPr>
          <w:sz w:val="20"/>
          <w:szCs w:val="20"/>
          <w:color w:val="auto"/>
        </w:rPr>
      </w:pPr>
    </w:p>
    <w:p>
      <w:pPr>
        <w:jc w:val="both"/>
        <w:ind w:left="1800" w:right="1398" w:hanging="136"/>
        <w:spacing w:after="0" w:line="239" w:lineRule="auto"/>
        <w:tabs>
          <w:tab w:leader="none" w:pos="1811" w:val="left"/>
        </w:tabs>
        <w:numPr>
          <w:ilvl w:val="0"/>
          <w:numId w:val="81"/>
        </w:numPr>
        <w:rPr>
          <w:rFonts w:ascii="Arial" w:cs="Arial" w:eastAsia="Arial" w:hAnsi="Arial"/>
          <w:sz w:val="14"/>
          <w:szCs w:val="14"/>
          <w:color w:val="auto"/>
        </w:rPr>
      </w:pPr>
      <w:r>
        <w:rPr>
          <w:rFonts w:ascii="Arial" w:cs="Arial" w:eastAsia="Arial" w:hAnsi="Arial"/>
          <w:sz w:val="14"/>
          <w:szCs w:val="14"/>
          <w:i w:val="1"/>
          <w:iCs w:val="1"/>
          <w:u w:val="single" w:color="auto"/>
          <w:color w:val="auto"/>
        </w:rPr>
        <w:t>OEMs.</w:t>
      </w:r>
      <w:r>
        <w:rPr>
          <w:rFonts w:ascii="Arial" w:cs="Arial" w:eastAsia="Arial" w:hAnsi="Arial"/>
          <w:sz w:val="14"/>
          <w:szCs w:val="14"/>
          <w:i w:val="1"/>
          <w:iCs w:val="1"/>
          <w:color w:val="auto"/>
        </w:rPr>
        <w:t xml:space="preserve"> </w:t>
      </w:r>
      <w:r>
        <w:rPr>
          <w:rFonts w:ascii="Arial" w:cs="Arial" w:eastAsia="Arial" w:hAnsi="Arial"/>
          <w:sz w:val="14"/>
          <w:szCs w:val="14"/>
          <w:color w:val="auto"/>
        </w:rPr>
        <w:t>OEMs are increasingly seeking digitalization solutions to help them manage the full</w:t>
      </w:r>
      <w:r>
        <w:rPr>
          <w:rFonts w:ascii="Arial" w:cs="Arial" w:eastAsia="Arial" w:hAnsi="Arial"/>
          <w:sz w:val="14"/>
          <w:szCs w:val="14"/>
          <w:i w:val="1"/>
          <w:iCs w:val="1"/>
          <w:color w:val="auto"/>
        </w:rPr>
        <w:t xml:space="preserve"> </w:t>
      </w:r>
      <w:r>
        <w:rPr>
          <w:rFonts w:ascii="Arial" w:cs="Arial" w:eastAsia="Arial" w:hAnsi="Arial"/>
          <w:sz w:val="14"/>
          <w:szCs w:val="14"/>
          <w:color w:val="auto"/>
        </w:rPr>
        <w:t>spectrum of their interaction with consumers, including lead conversion, order-driven manufacturing, car delivery and after-sales services, all with a focus on direct customer engagement — an emerging battleground for most OEMs. Providers of competitive digitalization services have a unique advantage in establishing long-term relationships with OEMs and securing a share of wallet in the OEMs’ investments in these new endeavors.</w:t>
      </w:r>
    </w:p>
    <w:p>
      <w:pPr>
        <w:spacing w:after="0" w:line="86" w:lineRule="exact"/>
        <w:rPr>
          <w:rFonts w:ascii="Arial" w:cs="Arial" w:eastAsia="Arial" w:hAnsi="Arial"/>
          <w:sz w:val="14"/>
          <w:szCs w:val="14"/>
          <w:color w:val="auto"/>
        </w:rPr>
      </w:pPr>
    </w:p>
    <w:p>
      <w:pPr>
        <w:jc w:val="both"/>
        <w:ind w:left="1800" w:right="1398" w:hanging="136"/>
        <w:spacing w:after="0" w:line="237" w:lineRule="auto"/>
        <w:tabs>
          <w:tab w:leader="none" w:pos="1783" w:val="left"/>
        </w:tabs>
        <w:numPr>
          <w:ilvl w:val="0"/>
          <w:numId w:val="81"/>
        </w:numPr>
        <w:rPr>
          <w:rFonts w:ascii="Arial" w:cs="Arial" w:eastAsia="Arial" w:hAnsi="Arial"/>
          <w:sz w:val="11"/>
          <w:szCs w:val="11"/>
          <w:color w:val="auto"/>
        </w:rPr>
      </w:pPr>
      <w:r>
        <w:rPr>
          <w:rFonts w:ascii="Arial" w:cs="Arial" w:eastAsia="Arial" w:hAnsi="Arial"/>
          <w:sz w:val="14"/>
          <w:szCs w:val="14"/>
          <w:i w:val="1"/>
          <w:iCs w:val="1"/>
          <w:u w:val="single" w:color="auto"/>
          <w:color w:val="auto"/>
        </w:rPr>
        <w:t>Authorized dealers.</w:t>
      </w:r>
      <w:r>
        <w:rPr>
          <w:rFonts w:ascii="Arial" w:cs="Arial" w:eastAsia="Arial" w:hAnsi="Arial"/>
          <w:sz w:val="14"/>
          <w:szCs w:val="14"/>
          <w:i w:val="1"/>
          <w:iCs w:val="1"/>
          <w:color w:val="auto"/>
        </w:rPr>
        <w:t xml:space="preserve"> </w:t>
      </w:r>
      <w:r>
        <w:rPr>
          <w:rFonts w:ascii="Arial" w:cs="Arial" w:eastAsia="Arial" w:hAnsi="Arial"/>
          <w:sz w:val="14"/>
          <w:szCs w:val="14"/>
          <w:color w:val="auto"/>
        </w:rPr>
        <w:t>The advent of the DTC sales model and the emergence of new car</w:t>
      </w:r>
      <w:r>
        <w:rPr>
          <w:rFonts w:ascii="Arial" w:cs="Arial" w:eastAsia="Arial" w:hAnsi="Arial"/>
          <w:sz w:val="14"/>
          <w:szCs w:val="14"/>
          <w:i w:val="1"/>
          <w:iCs w:val="1"/>
          <w:color w:val="auto"/>
        </w:rPr>
        <w:t xml:space="preserve"> </w:t>
      </w:r>
      <w:r>
        <w:rPr>
          <w:rFonts w:ascii="Arial" w:cs="Arial" w:eastAsia="Arial" w:hAnsi="Arial"/>
          <w:sz w:val="14"/>
          <w:szCs w:val="14"/>
          <w:color w:val="auto"/>
        </w:rPr>
        <w:t>brokers have presented significant challenges for authorized dealers. OEMs now have the capability to engage directly with end-consumers, which has impacted the traditional dealership’s role as an intermediary. Additionally, with the growing popularity of EVs, the once-crucial roles played by authorized dealers in providing after-sales services is facing challenges as EVs require significantly fewer maintenance services compared to conventional ICE vehicles. To remain competitive in this evolving landscape, authorized dealers must proactively reposition themselves through business model innovations.</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5" w:name="page186"/>
    <w:bookmarkEnd w:id="18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36" w:lineRule="auto"/>
        <w:tabs>
          <w:tab w:leader="none" w:pos="1783" w:val="left"/>
        </w:tabs>
        <w:numPr>
          <w:ilvl w:val="0"/>
          <w:numId w:val="82"/>
        </w:numPr>
        <w:rPr>
          <w:rFonts w:ascii="Arial" w:cs="Arial" w:eastAsia="Arial" w:hAnsi="Arial"/>
          <w:sz w:val="11"/>
          <w:szCs w:val="11"/>
          <w:color w:val="auto"/>
        </w:rPr>
      </w:pPr>
      <w:r>
        <w:rPr>
          <w:rFonts w:ascii="Arial" w:cs="Arial" w:eastAsia="Arial" w:hAnsi="Arial"/>
          <w:sz w:val="14"/>
          <w:szCs w:val="14"/>
          <w:i w:val="1"/>
          <w:iCs w:val="1"/>
          <w:u w:val="single" w:color="auto"/>
          <w:color w:val="auto"/>
        </w:rPr>
        <w:t>New Car Brokers.</w:t>
      </w:r>
      <w:r>
        <w:rPr>
          <w:rFonts w:ascii="Arial" w:cs="Arial" w:eastAsia="Arial" w:hAnsi="Arial"/>
          <w:sz w:val="14"/>
          <w:szCs w:val="14"/>
          <w:i w:val="1"/>
          <w:iCs w:val="1"/>
          <w:color w:val="auto"/>
        </w:rPr>
        <w:t xml:space="preserve"> </w:t>
      </w:r>
      <w:r>
        <w:rPr>
          <w:rFonts w:ascii="Arial" w:cs="Arial" w:eastAsia="Arial" w:hAnsi="Arial"/>
          <w:sz w:val="14"/>
          <w:szCs w:val="14"/>
          <w:color w:val="auto"/>
        </w:rPr>
        <w:t>Amid the increasing popularity of the DTC sales model, new car brokers</w:t>
      </w:r>
      <w:r>
        <w:rPr>
          <w:rFonts w:ascii="Arial" w:cs="Arial" w:eastAsia="Arial" w:hAnsi="Arial"/>
          <w:sz w:val="14"/>
          <w:szCs w:val="14"/>
          <w:i w:val="1"/>
          <w:iCs w:val="1"/>
          <w:color w:val="auto"/>
        </w:rPr>
        <w:t xml:space="preserve"> </w:t>
      </w:r>
      <w:r>
        <w:rPr>
          <w:rFonts w:ascii="Arial" w:cs="Arial" w:eastAsia="Arial" w:hAnsi="Arial"/>
          <w:sz w:val="14"/>
          <w:szCs w:val="14"/>
          <w:color w:val="auto"/>
        </w:rPr>
        <w:t>are increasingly collaborating with OEMs (as opposed to authorized dealers) who consider new car brokers as an important sales channel that helps them engage with consumers, especially in lower-tier cities that are otherwise difficult or too costly to reach. This emergence of new car brokers has opened up opportunities for OEMs to expand their market reach and tap into previously untapped customer segments. On the other hand, to remain competitive and secure their position as essential partners in the OEMs’ DTC strategies, new car brokers must actively pursue venues to forge strong relationships with OEMs. By aligning their offerings with the OEMs’ objectives and adapting to the evolving market demands, new car brokers can establish themselves as integral players in the automotive distribution ecosystem.</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Competitive Landscape</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China’s used car and new car markets, transaction services and digitalization solutions are mainly provided by a myriad of small-scale, unconnected providers offering individual services and digital platforms lacking integrated service capacities. DSC stands out as the sole provider offering a comprehensive suite of integrated digitalization solutions and transaction services to auto merchants in China.</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Competitive Positions in the Used Car Sector</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used car service market in China is highly competitive, yet we have managed to distinguish ourselves as the market leader.</w:t>
      </w:r>
    </w:p>
    <w:p>
      <w:pPr>
        <w:spacing w:after="0" w:line="5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Since at least 2021, our digitalization solutions have covered the largest number of used car dealers in China, giving us a market share of over 90%, 22 times larger than the sum of the second and the third largest players in the market, according to CIC. We are also China’s second largest B2B online used car auction platforms in terms of transaction volume in 2025, approximately 2.6 times larger than the third largest player, according to the same source. Furthermore, we are the largest used car inspection service provider in China in terms of used car inspection volume in 2025, approximately 1.5 times larger than the second largest player and more than 2.9 times larger than the third largest player, according to CIC.</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Competitive Positions in the New Car Sector</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new car service market in China is highly competitive, but we have achieved a leading position for a number of transaction services and digitalization solutions for new car auto merchants. As of the end of 2025, our digitalization solutions covered the largest number of new car brokers in China, more than 29 times larger than the sum of the second and the third largest player in the market, giving us over 90% market share, according to CIC. In terms of digitalization solutions for new car auto merchants, we ranked the second among all digitalization solutions providers in China, as measured by revenue, in 2025, according to the same source. We believe we are a clear leader in China in developing and promoting customer-centric digitalization solutions for used car dealers, new car brokers, and OEMs.</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terms of transaction services, we ranked the first among all single car delivery service providers in China, more than 5.2 times larger than the sum of the second and the third largest player in the market, as measured by revenue, in 2025, according to CIC.</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6" w:name="page187"/>
    <w:bookmarkEnd w:id="18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BUSINESS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Overview</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Mission</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mission is to transform used car commerce through digitalization, AI applications and integrated transaction services. We are dedicated to advancing used car dealers’ workflows from offline to online, from isolated to coordinated, and from manual to AI-empowered, thereby optimizing resource allocation across the industry.</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Who We Are</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are the AI application infrastructure for China’s used car industry, holding over 90% market share in operating systems for China’s used car dealers since at least 2021, according to CIC. Building on this digital foundation, we further support used car dealers with essential transaction services across their workflows.</w:t>
      </w:r>
    </w:p>
    <w:p>
      <w:pPr>
        <w:spacing w:after="0" w:line="6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Beyond used car dealers, we also work with other auto merchants, including OEMs, authorized dealers and new car brokers. Our services further engage and benefit thousands of dealers’ collaborators, such as inspectors, transporters and other internet platforms, creating an ecosystem with used car dealers at the center.</w:t>
      </w:r>
    </w:p>
    <w:p>
      <w:pPr>
        <w:spacing w:after="0" w:line="7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unwavering focus on used car dealers’ success underpins everything we do and has made us mission critical to their business. We have built each of our service offerings around their workflows and evolving needs, as illustrated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60325</wp:posOffset>
            </wp:positionV>
            <wp:extent cx="3854450" cy="1666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54450" cy="166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7" w:name="page188"/>
    <w:bookmarkEnd w:id="18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Unique Synergy and Flywheel</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have executed a clear and focused growth strategy laid out by our founders in 2013:</w:t>
      </w:r>
    </w:p>
    <w:p>
      <w:pPr>
        <w:spacing w:after="0" w:line="109" w:lineRule="exact"/>
        <w:rPr>
          <w:sz w:val="20"/>
          <w:szCs w:val="20"/>
          <w:color w:val="auto"/>
        </w:rPr>
      </w:pPr>
    </w:p>
    <w:p>
      <w:pPr>
        <w:ind w:left="1800" w:right="1398" w:hanging="136"/>
        <w:spacing w:after="0" w:line="271" w:lineRule="auto"/>
        <w:tabs>
          <w:tab w:leader="none" w:pos="1804" w:val="left"/>
        </w:tabs>
        <w:numPr>
          <w:ilvl w:val="0"/>
          <w:numId w:val="83"/>
        </w:numPr>
        <w:rPr>
          <w:rFonts w:ascii="Arial" w:cs="Arial" w:eastAsia="Arial" w:hAnsi="Arial"/>
          <w:sz w:val="11"/>
          <w:szCs w:val="11"/>
          <w:color w:val="auto"/>
        </w:rPr>
      </w:pPr>
      <w:r>
        <w:rPr>
          <w:rFonts w:ascii="Arial" w:cs="Arial" w:eastAsia="Arial" w:hAnsi="Arial"/>
          <w:sz w:val="14"/>
          <w:szCs w:val="14"/>
          <w:color w:val="auto"/>
        </w:rPr>
        <w:t>First, transform used car dealers’ daily operations through digitalization, significantly reducing inefficiencies; and</w:t>
      </w:r>
    </w:p>
    <w:p>
      <w:pPr>
        <w:spacing w:after="0" w:line="61"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83"/>
        </w:numPr>
        <w:rPr>
          <w:rFonts w:ascii="Arial" w:cs="Arial" w:eastAsia="Arial" w:hAnsi="Arial"/>
          <w:sz w:val="11"/>
          <w:szCs w:val="11"/>
          <w:color w:val="auto"/>
        </w:rPr>
      </w:pPr>
      <w:r>
        <w:rPr>
          <w:rFonts w:ascii="Arial" w:cs="Arial" w:eastAsia="Arial" w:hAnsi="Arial"/>
          <w:sz w:val="14"/>
          <w:szCs w:val="14"/>
          <w:color w:val="auto"/>
        </w:rPr>
        <w:t>Second, leveraging the data and dealer connections from our digitalization solutions, provide essential transaction services, including AI applications, to further enhance their efficiency and profitability.</w:t>
      </w:r>
    </w:p>
    <w:p>
      <w:pPr>
        <w:spacing w:after="0" w:line="6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integration of digitalization solutions and transaction services has created a uniquely strong bond between us and used car dealers. It also powers a self-reinforcing flywheel, in which our digital foundation provides high-frequency user engagement, data-driven insight and an industry-wide AI application infrastructure, while our transaction services deliver volume -driven revenue growth, deeper insight into dealers’ operations and stronger user stickiness — all of which in turn strengthens the digital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66675</wp:posOffset>
            </wp:positionV>
            <wp:extent cx="3880485" cy="1548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80485"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AI Applications and Outlook</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believe auto commerce is being reshaped by AI, and that vertical AI agents — agents trained on industry-specific data and integrated into industry-specific workflows — will be essential to auto merchants’ competitiveness and profitability.</w:t>
      </w:r>
    </w:p>
    <w:p>
      <w:pPr>
        <w:spacing w:after="0" w:line="6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long-standing position as the operating system for China’s used car industry gives us what we view as an unparalleled structural advantage in building and deploying such agents, drawing on two assets we have spent a decade assembling and that we believe would be difficult for anyone else to acquire:</w:t>
      </w:r>
    </w:p>
    <w:p>
      <w:pPr>
        <w:spacing w:after="0" w:line="79" w:lineRule="exact"/>
        <w:rPr>
          <w:sz w:val="20"/>
          <w:szCs w:val="20"/>
          <w:color w:val="auto"/>
        </w:rPr>
      </w:pPr>
    </w:p>
    <w:p>
      <w:pPr>
        <w:ind w:left="1800" w:hanging="136"/>
        <w:spacing w:after="0"/>
        <w:tabs>
          <w:tab w:leader="none" w:pos="1800" w:val="left"/>
        </w:tabs>
        <w:numPr>
          <w:ilvl w:val="0"/>
          <w:numId w:val="84"/>
        </w:numPr>
        <w:rPr>
          <w:rFonts w:ascii="Arial" w:cs="Arial" w:eastAsia="Arial" w:hAnsi="Arial"/>
          <w:sz w:val="11"/>
          <w:szCs w:val="11"/>
          <w:color w:val="auto"/>
        </w:rPr>
      </w:pPr>
      <w:r>
        <w:rPr>
          <w:rFonts w:ascii="Arial" w:cs="Arial" w:eastAsia="Arial" w:hAnsi="Arial"/>
          <w:sz w:val="14"/>
          <w:szCs w:val="14"/>
          <w:b w:val="1"/>
          <w:bCs w:val="1"/>
          <w:color w:val="auto"/>
        </w:rPr>
        <w:t>Massive, proprietary, granular, real-time industry data.</w:t>
      </w:r>
    </w:p>
    <w:p>
      <w:pPr>
        <w:spacing w:after="0" w:line="108" w:lineRule="exact"/>
        <w:rPr>
          <w:rFonts w:ascii="Arial" w:cs="Arial" w:eastAsia="Arial" w:hAnsi="Arial"/>
          <w:sz w:val="11"/>
          <w:szCs w:val="11"/>
          <w:color w:val="auto"/>
        </w:rPr>
      </w:pPr>
    </w:p>
    <w:p>
      <w:pPr>
        <w:jc w:val="both"/>
        <w:ind w:left="1800" w:right="1398"/>
        <w:spacing w:after="0" w:line="236" w:lineRule="auto"/>
        <w:rPr>
          <w:rFonts w:ascii="Arial" w:cs="Arial" w:eastAsia="Arial" w:hAnsi="Arial"/>
          <w:sz w:val="11"/>
          <w:szCs w:val="11"/>
          <w:color w:val="auto"/>
        </w:rPr>
      </w:pPr>
      <w:r>
        <w:rPr>
          <w:rFonts w:ascii="Arial" w:cs="Arial" w:eastAsia="Arial" w:hAnsi="Arial"/>
          <w:sz w:val="14"/>
          <w:szCs w:val="14"/>
          <w:color w:val="auto"/>
        </w:rPr>
        <w:t>Through our over-90% market share in operating systems, we have been embedded in the daily operations of over 50% of China’s used car dealers, factoring in the digitalization penetration rate, according to CIC. Our system manages over 50% of China’s used car inventory, identified by VIN, at any given time, as well as over RMB1.0 billion of used car transaction value each day in January 2026, according to CIC. We assign over 300 data points to each dealer — covering location, staff, customers and collaborators — and over 70 data points to each vehicle, including specifications, condition, purchase cost, sale price and inventory turnover days, all stored as proprietary data on our servers. Our operating system for new car brokers has likewise tracked real-time wholesale prices for over 90% of China’s new car models since 2021, according to CIC. We believe the breadth, granularity and timeliness of this data are unmatched in China’s used car industry.</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8" w:name="page189"/>
    <w:bookmarkEnd w:id="18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spacing w:after="0" w:line="236" w:lineRule="auto"/>
        <w:rPr>
          <w:sz w:val="20"/>
          <w:szCs w:val="20"/>
          <w:color w:val="auto"/>
        </w:rPr>
      </w:pPr>
      <w:r>
        <w:rPr>
          <w:rFonts w:ascii="Arial" w:cs="Arial" w:eastAsia="Arial" w:hAnsi="Arial"/>
          <w:sz w:val="14"/>
          <w:szCs w:val="14"/>
          <w:color w:val="auto"/>
        </w:rPr>
        <w:t>As foundational models become increasingly commoditized, the quality of a vertical AI agent is determined largely by the data it is trained on. In a domain as specialized as used car commerce, an effective AI agent must reliably determine which vehicle a dealer should acquire and at what cost, and how quickly a vehicle is likely to sell and at what price. These determinations depend on real-time, transaction-level data from within the market. Our data set provides precisely this input — a continuously updated record of what is bought and sold, at what prices, and how inventory moves across regions and among dealers and consumers. Because this data is proprietary to us, we believe it would be difficult for others to develop AI agents of comparable quality. As AI advances deeper into the industry, we expect our data advantage to widen our competitive lead and further solidify our position as the leading enabler of China’s used car commerce.</w:t>
      </w:r>
    </w:p>
    <w:p>
      <w:pPr>
        <w:spacing w:after="0" w:line="85" w:lineRule="exact"/>
        <w:rPr>
          <w:sz w:val="20"/>
          <w:szCs w:val="20"/>
          <w:color w:val="auto"/>
        </w:rPr>
      </w:pPr>
    </w:p>
    <w:p>
      <w:pPr>
        <w:jc w:val="both"/>
        <w:ind w:left="1800" w:right="1398"/>
        <w:spacing w:after="0" w:line="235" w:lineRule="auto"/>
        <w:rPr>
          <w:sz w:val="20"/>
          <w:szCs w:val="20"/>
          <w:color w:val="auto"/>
        </w:rPr>
      </w:pPr>
      <w:r>
        <w:rPr>
          <w:rFonts w:ascii="Arial" w:cs="Arial" w:eastAsia="Arial" w:hAnsi="Arial"/>
          <w:sz w:val="14"/>
          <w:szCs w:val="14"/>
          <w:color w:val="auto"/>
        </w:rPr>
        <w:t>Leveraging this invaluable data and the digital operating environment we have created, we have begun implementing AI agents within the micro-environment of an individual used car dealer’s daily operations, offering support in its two most costly functions: procurement and sales. The core skills of a procurement team are heavily data-driven: finding the right vehicle to match an existing customer lead, or deciding whether to acquire a vehicle based on its current supply-and-demand dynamics in the dealer’s home market and, if so, how much to offer to ensure a quick turnaround and a healthy margin. These are precisely the skills an AI agent trained on our system is suited to perform, drawing on real-time information on prices and inventory movements at a scale and speed beyond the capability of any individual procurement team. The skills of a sales team in many ways mirror the “matching” and “pricing” functions of procurement, but directed at consumers; by the same token, AI agents are well suited to support this function as well.</w:t>
      </w:r>
    </w:p>
    <w:p>
      <w:pPr>
        <w:spacing w:after="0" w:line="90" w:lineRule="exact"/>
        <w:rPr>
          <w:sz w:val="20"/>
          <w:szCs w:val="20"/>
          <w:color w:val="auto"/>
        </w:rPr>
      </w:pPr>
    </w:p>
    <w:p>
      <w:pPr>
        <w:jc w:val="both"/>
        <w:ind w:left="1800" w:right="1398"/>
        <w:spacing w:after="0" w:line="245" w:lineRule="auto"/>
        <w:rPr>
          <w:sz w:val="20"/>
          <w:szCs w:val="20"/>
          <w:color w:val="auto"/>
        </w:rPr>
      </w:pPr>
      <w:r>
        <w:rPr>
          <w:rFonts w:ascii="Arial" w:cs="Arial" w:eastAsia="Arial" w:hAnsi="Arial"/>
          <w:sz w:val="14"/>
          <w:szCs w:val="14"/>
          <w:color w:val="auto"/>
        </w:rPr>
        <w:t>At a typical dealership, these two functions together consume a substantial share of the dealer’s gross margin — we estimate approximately 40% to 50% based on our industry data — making them both the most expensive functions to staff and, we believe, meaningful monetization opportunities for us.</w:t>
      </w:r>
    </w:p>
    <w:p>
      <w:pPr>
        <w:spacing w:after="0" w:line="69" w:lineRule="exact"/>
        <w:rPr>
          <w:sz w:val="20"/>
          <w:szCs w:val="20"/>
          <w:color w:val="auto"/>
        </w:rPr>
      </w:pPr>
    </w:p>
    <w:p>
      <w:pPr>
        <w:jc w:val="both"/>
        <w:ind w:left="1800" w:right="1398"/>
        <w:spacing w:after="0" w:line="239" w:lineRule="auto"/>
        <w:rPr>
          <w:sz w:val="20"/>
          <w:szCs w:val="20"/>
          <w:color w:val="auto"/>
        </w:rPr>
      </w:pPr>
      <w:r>
        <w:rPr>
          <w:rFonts w:ascii="Arial" w:cs="Arial" w:eastAsia="Arial" w:hAnsi="Arial"/>
          <w:sz w:val="14"/>
          <w:szCs w:val="14"/>
          <w:color w:val="auto"/>
        </w:rPr>
        <w:t>We began generating sales from pilot AI application in July 2025, totaling approximately RMB1.3 million as of the date of this prospectus. The modest sales indicate early but clear dealer acceptance of, and demand for, such AI agents. We are committed to continuously improving our AI agent offerings and expanding their monetization over time. To date, however, AI-related products have not contributed, and we do not expect them to contribute, a material portion of our total revenue in the near term.</w:t>
      </w:r>
    </w:p>
    <w:p>
      <w:pPr>
        <w:spacing w:after="0" w:line="86" w:lineRule="exact"/>
        <w:rPr>
          <w:sz w:val="20"/>
          <w:szCs w:val="20"/>
          <w:color w:val="auto"/>
        </w:rPr>
      </w:pPr>
    </w:p>
    <w:p>
      <w:pPr>
        <w:ind w:left="1800" w:hanging="136"/>
        <w:spacing w:after="0"/>
        <w:tabs>
          <w:tab w:leader="none" w:pos="1800" w:val="left"/>
        </w:tabs>
        <w:numPr>
          <w:ilvl w:val="0"/>
          <w:numId w:val="85"/>
        </w:numPr>
        <w:rPr>
          <w:rFonts w:ascii="Arial" w:cs="Arial" w:eastAsia="Arial" w:hAnsi="Arial"/>
          <w:sz w:val="11"/>
          <w:szCs w:val="11"/>
          <w:color w:val="auto"/>
        </w:rPr>
      </w:pPr>
      <w:r>
        <w:rPr>
          <w:rFonts w:ascii="Arial" w:cs="Arial" w:eastAsia="Arial" w:hAnsi="Arial"/>
          <w:sz w:val="14"/>
          <w:szCs w:val="14"/>
          <w:b w:val="1"/>
          <w:bCs w:val="1"/>
          <w:color w:val="auto"/>
        </w:rPr>
        <w:t>End-to-end transaction service matrix to go from information to execution.</w:t>
      </w:r>
    </w:p>
    <w:p>
      <w:pPr>
        <w:spacing w:after="0" w:line="108" w:lineRule="exact"/>
        <w:rPr>
          <w:rFonts w:ascii="Arial" w:cs="Arial" w:eastAsia="Arial" w:hAnsi="Arial"/>
          <w:sz w:val="11"/>
          <w:szCs w:val="11"/>
          <w:color w:val="auto"/>
        </w:rPr>
      </w:pPr>
    </w:p>
    <w:p>
      <w:pPr>
        <w:jc w:val="both"/>
        <w:ind w:left="1800" w:right="1398"/>
        <w:spacing w:after="0" w:line="251" w:lineRule="auto"/>
        <w:rPr>
          <w:rFonts w:ascii="Arial" w:cs="Arial" w:eastAsia="Arial" w:hAnsi="Arial"/>
          <w:sz w:val="11"/>
          <w:szCs w:val="11"/>
          <w:color w:val="auto"/>
        </w:rPr>
      </w:pPr>
      <w:r>
        <w:rPr>
          <w:rFonts w:ascii="Arial" w:cs="Arial" w:eastAsia="Arial" w:hAnsi="Arial"/>
          <w:sz w:val="14"/>
          <w:szCs w:val="14"/>
          <w:color w:val="auto"/>
        </w:rPr>
        <w:t>To be truly agentic — as opposed to being a mere chatbot or single-purpose tool — an AI agent must be able to execute. In used car commerce, an effective AI agent should ideally be able to get the vehicle sourced, inspected, purchased and delivered.</w:t>
      </w:r>
    </w:p>
    <w:p>
      <w:pPr>
        <w:spacing w:after="0" w:line="65" w:lineRule="exact"/>
        <w:rPr>
          <w:rFonts w:ascii="Arial" w:cs="Arial" w:eastAsia="Arial" w:hAnsi="Arial"/>
          <w:sz w:val="11"/>
          <w:szCs w:val="11"/>
          <w:color w:val="auto"/>
        </w:rPr>
      </w:pPr>
    </w:p>
    <w:p>
      <w:pPr>
        <w:jc w:val="both"/>
        <w:ind w:left="1800" w:right="1398"/>
        <w:spacing w:after="0" w:line="237" w:lineRule="auto"/>
        <w:rPr>
          <w:rFonts w:ascii="Arial" w:cs="Arial" w:eastAsia="Arial" w:hAnsi="Arial"/>
          <w:sz w:val="11"/>
          <w:szCs w:val="11"/>
          <w:color w:val="auto"/>
        </w:rPr>
      </w:pPr>
      <w:r>
        <w:rPr>
          <w:rFonts w:ascii="Arial" w:cs="Arial" w:eastAsia="Arial" w:hAnsi="Arial"/>
          <w:sz w:val="14"/>
          <w:szCs w:val="14"/>
          <w:color w:val="auto"/>
        </w:rPr>
        <w:t>We believe we have the right capabilities to bring about truly agentic AI applications in China’s used car commerce. We are uniquely positioned to locate a desired vehicle within the vast database of dealers’ ERP entries on our system, to communicate promptly with the right dealer through their work app, to have the vehicle inspected by our reliable inspection service, to enter into a contract electronically through our digital platform, and to physically move and deliver the vehicle to the buyer’s doorstep, with all necessary vehicle registration paperwork completed by our representatives. We believe these whole-suite execution capabilities will make us a valuable partner to the general-purpose AI platforms that serve as consumer traffic gateways, as these platforms increasingly seek to collaborate with vertical industry players.</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89" w:name="page190"/>
    <w:bookmarkEnd w:id="18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diagram illustrates how our AI agents deliver real results, empowering ZICHI, a used car dealer located in Kunming, Yunnan Province: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51435</wp:posOffset>
            </wp:positionV>
            <wp:extent cx="3946525" cy="2220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4652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Monetization</w:t>
      </w:r>
    </w:p>
    <w:p>
      <w:pPr>
        <w:spacing w:after="0" w:line="6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monetize both digitalization and transaction services in a deliberately planned sequence. Given that the addressable market for transaction services is significantly larger than that of digitalization solutions in China’s used car industry, we expect the majority of our revenues to come from transaction services.</w:t>
      </w:r>
    </w:p>
    <w:p>
      <w:pPr>
        <w:spacing w:after="0" w:line="69"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 xml:space="preserve">Our decision to offer </w:t>
      </w:r>
      <w:r>
        <w:rPr>
          <w:rFonts w:ascii="Arial" w:cs="Arial" w:eastAsia="Arial" w:hAnsi="Arial"/>
          <w:sz w:val="13"/>
          <w:szCs w:val="13"/>
          <w:i w:val="1"/>
          <w:iCs w:val="1"/>
          <w:color w:val="auto"/>
        </w:rPr>
        <w:t>DaFengChe,</w:t>
      </w:r>
      <w:r>
        <w:rPr>
          <w:rFonts w:ascii="Arial" w:cs="Arial" w:eastAsia="Arial" w:hAnsi="Arial"/>
          <w:sz w:val="13"/>
          <w:szCs w:val="13"/>
          <w:color w:val="auto"/>
        </w:rPr>
        <w:t xml:space="preserve"> our flagship digitalization solutions, largely for free to used car dealers is a deliberate strategic choice and one of the most important decisions we have made. By making </w:t>
      </w:r>
      <w:r>
        <w:rPr>
          <w:rFonts w:ascii="Arial" w:cs="Arial" w:eastAsia="Arial" w:hAnsi="Arial"/>
          <w:sz w:val="13"/>
          <w:szCs w:val="13"/>
          <w:i w:val="1"/>
          <w:iCs w:val="1"/>
          <w:color w:val="auto"/>
        </w:rPr>
        <w:t>DaFengChe</w:t>
      </w:r>
      <w:r>
        <w:rPr>
          <w:rFonts w:ascii="Arial" w:cs="Arial" w:eastAsia="Arial" w:hAnsi="Arial"/>
          <w:sz w:val="13"/>
          <w:szCs w:val="13"/>
          <w:color w:val="auto"/>
        </w:rPr>
        <w:t xml:space="preserve"> the de facto default operating system for used car dealers across China, we have built the foundation that allows us to monetize transaction services at scale today, deploy AI applications that we believe will reshape how the industry operates tomorrow, and sustain our competitive position over the long term. Without this digital foundation, none of this would be possible.</w:t>
      </w:r>
    </w:p>
    <w:p>
      <w:pPr>
        <w:spacing w:after="0" w:line="73"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 xml:space="preserve">We had 226,852, 238,960 and 228,473 “active users,” respectively, 27,779, 28,412 and 30,297 “monetized dealers and brokers,” respectively, and 1,127,727, 986,687 and 1,023,409 of “monetized transactions,” respectively, in 2023, 2024 and 2025. “Active users” for a given period refers to auto merchants who accessed our digitalization platforms, i.e.,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used car dealers and </w:t>
      </w:r>
      <w:r>
        <w:rPr>
          <w:rFonts w:ascii="Arial" w:cs="Arial" w:eastAsia="Arial" w:hAnsi="Arial"/>
          <w:sz w:val="14"/>
          <w:szCs w:val="14"/>
          <w:i w:val="1"/>
          <w:iCs w:val="1"/>
          <w:color w:val="auto"/>
        </w:rPr>
        <w:t xml:space="preserve">CheHang 168 </w:t>
      </w:r>
      <w:r>
        <w:rPr>
          <w:rFonts w:ascii="Arial" w:cs="Arial" w:eastAsia="Arial" w:hAnsi="Arial"/>
          <w:sz w:val="14"/>
          <w:szCs w:val="14"/>
          <w:color w:val="auto"/>
        </w:rPr>
        <w:t>for new car brokers, at least once during that period. “Monetized dealers and brokers”</w:t>
      </w:r>
      <w:r>
        <w:rPr>
          <w:rFonts w:ascii="Arial" w:cs="Arial" w:eastAsia="Arial" w:hAnsi="Arial"/>
          <w:sz w:val="14"/>
          <w:szCs w:val="14"/>
          <w:i w:val="1"/>
          <w:iCs w:val="1"/>
          <w:color w:val="auto"/>
        </w:rPr>
        <w:t xml:space="preserve"> </w:t>
      </w:r>
      <w:r>
        <w:rPr>
          <w:rFonts w:ascii="Arial" w:cs="Arial" w:eastAsia="Arial" w:hAnsi="Arial"/>
          <w:sz w:val="14"/>
          <w:szCs w:val="14"/>
          <w:color w:val="auto"/>
        </w:rPr>
        <w:t>refer to used car dealers and new car brokers from whom we generate revenues either directly from fees received from them or indirectly from their collaborators for either digitalization solutions or transaction services. ”Monetized transactions” refer to total transaction services volume, including B2B transaction facilitation, used car inspection and certification, financial product referral and single car delivery. All of our monetized dealers and brokers came from our active users, yet given that we are still at an early stage of monetizing transaction services, a significant portion of our active users have not contributed to our revenue and are to be converted into monetized dealers and brokers. In 2023, 2024 and 2025, 83,467, 87,318 and 77,485 of our “active users” have used our transaction services, including certain free-of-charge services, at least once, respectively. We expect the penetration of our transaction services to continue to grow among our active users and their collaborators.</w:t>
      </w:r>
    </w:p>
    <w:p>
      <w:pPr>
        <w:spacing w:after="0" w:line="11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0" w:name="page191"/>
    <w:bookmarkEnd w:id="19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The ARPU of our monetized dealers and brokers was RMB17,537 in 2023 based on total revenues of RMB487.2 million, RMB17,304 in 2024 based on total revenues of RMB491.6 million, and RMB7,379 in 2025 based on total revenues of RMB233.6 million. The ARPU of our monetized dealers and brokers decreased in 2025 primarily attributable to the Disposition of our financial product referral services as well as the increase in the number of monetized dealers and brokers. Revenues used to calculate ARPU include the revenues generated from digitalization solutions and transaction services to dealers and brokers and do not include revenues from OEMs and other customers. These other customers are primarily auto trading companies and financial institutions that use our warehousing services. In 2023, 2024 and 2025, we generated revenues of RMB117.1 million, RMB123.4 million and RMB186.8 million (US$26.7 million) from such other customers, respectively. See “— Conventions Which Apply to This Prospectus” for more information about ARPU.</w:t>
      </w:r>
    </w:p>
    <w:p>
      <w:pPr>
        <w:spacing w:after="0" w:line="4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generate revenue primarily from transaction services and to a lesser extent, digitalization solutions. Our total revenues increased by 4.3% from RMB909.0 million in 2023 to RMB948.2 million in 2024, and decreased by 28.6% to RMB677.1 million (US$96.8 million) in 2025. The decrease in 2025 was primarily attributable to the Disposition in December 2024. As we continue to invest in technology and growth, we recorded net loss of RMB186.6 million, RMB157.1 million and RMB94.6 million (US$13.5 million) in 2023, 2024 and 2025, respectively. Furthermore, we recorded adjusted net loss of RMB159.5 million, RMB134.8 million and RMB71.4 million (US$ 10.2 million) in 2023, 2024 and 2025, respectively. For a reconciliation of adjusted net loss to net loss, see “Management’s Discussion and Analysis of Financial Condition and Results of Operations — Non-GAAP Financial Measure.”</w:t>
      </w:r>
    </w:p>
    <w:p>
      <w:pPr>
        <w:spacing w:after="0" w:line="5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Sales attributable to AI-enabled products and services totaled approximately RMB1.3 million for the period from July 2025 through the date of this prospectus, generated from 1,008 used car dealers across 176 cities in 32 provinces. These amounts are recognized as revenue over the applicable service term, ranging from one month to one year, depending on the product category. As of the date of this prospectus, AI-related products have not contributed, and we do not expect them to contribute, a material portion of our total revenue in the near term. Our AI monetization remains in an early, pilot stage, and we have not yet established a recurring or scalable AI revenue stream.</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Moat</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believe we have built a strong moat anchored by three major assets, each of which makes our platform progressively harder to replace for used car dealers.</w:t>
      </w:r>
    </w:p>
    <w:p>
      <w:pPr>
        <w:spacing w:after="0" w:line="74"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Operating System for Daily Operations — Highly Costly to Switch</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We provide the core business operating system, not a single-purpose tool, for used car dealers.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covers every work aspect from granular inventory specifications to customer profiles,</w:t>
      </w:r>
      <w:r>
        <w:rPr>
          <w:rFonts w:ascii="Arial" w:cs="Arial" w:eastAsia="Arial" w:hAnsi="Arial"/>
          <w:sz w:val="14"/>
          <w:szCs w:val="14"/>
          <w:i w:val="1"/>
          <w:iCs w:val="1"/>
          <w:color w:val="auto"/>
        </w:rPr>
        <w:t xml:space="preserve"> </w:t>
      </w:r>
      <w:r>
        <w:rPr>
          <w:rFonts w:ascii="Arial" w:cs="Arial" w:eastAsia="Arial" w:hAnsi="Arial"/>
          <w:sz w:val="14"/>
          <w:szCs w:val="14"/>
          <w:color w:val="auto"/>
        </w:rPr>
        <w:t>from employee performance to third-party platform interfaces, and from current business analytics to historical financial data. Switching away from us is inherently challenging and costly: a dealer would have to re-tune almost every aspect of its operations and lose nearly all of the data and records accumulated on our system that are not available for export.</w:t>
      </w:r>
    </w:p>
    <w:p>
      <w:pPr>
        <w:spacing w:after="0" w:line="98"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Integrated Transaction Services — Increased Intertwinement</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further deepened our relationship with used car dealers by providing essential transaction services along dealers’ work streams, from inventory acquisition (B2B transaction facilitation), to used car inspection, car delivery, online store management, and final sale. As dealers use more of our services, we become increasingly intertwined with their day-to-day operations, further strengthening our relationship.</w:t>
      </w:r>
    </w:p>
    <w:p>
      <w:pPr>
        <w:spacing w:after="0" w:line="96" w:lineRule="exact"/>
        <w:rPr>
          <w:sz w:val="20"/>
          <w:szCs w:val="20"/>
          <w:color w:val="auto"/>
        </w:rPr>
      </w:pPr>
    </w:p>
    <w:p>
      <w:pPr>
        <w:ind w:left="1740"/>
        <w:spacing w:after="0"/>
        <w:rPr>
          <w:sz w:val="20"/>
          <w:szCs w:val="20"/>
          <w:color w:val="auto"/>
        </w:rPr>
      </w:pPr>
      <w:r>
        <w:rPr>
          <w:rFonts w:ascii="Arial" w:cs="Arial" w:eastAsia="Arial" w:hAnsi="Arial"/>
          <w:sz w:val="14"/>
          <w:szCs w:val="14"/>
          <w:i w:val="1"/>
          <w:iCs w:val="1"/>
          <w:color w:val="auto"/>
        </w:rPr>
        <w:t>Established Business Network — “Work Friends’ Circle” Effect</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We fostered interdependence among used car dealers on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ended up becoming their business network. For example, our platform housed 11,927 self-organized “dealer alliances” as of December 31, 2025 — a form of “work friends’ circle” in which dealers trust one another to share inventories. 4,169 inspectors and 4,067 logistics companies were also active on our platform as of December 31, 2025. Replicating this business network would require persuading most of the participating dealers to migrate in concert, which we believe is highly difficult to achieve.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1" w:name="page192"/>
    <w:bookmarkEnd w:id="19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 xml:space="preserve">This moat is evidenced by our long-standing relationships with the best and strongest in the industry: as of December 31, 2025, 66 of the top 100 used car dealers in China in 2025, as ranked by the China Automobile Dealers Association, had used our operating system,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more than five years, and 93 of them had used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more than two years. It is also evidenced by the enduring user loyalty we enjoy: of the top 100 used car dealers by inventory count on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as of December 31, 2018, 100% remained on our system as of December 31, 2025, other than those that have gone out of business.</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Where We Operate</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All of our operations are in China, the world’s largest automotive market, with a total car parc of 320.5 million in 2025, according to CIC. Despite its massive scale, China’s car parc is expected to continue growing to 382.1 million by 2030, a CAGR of 3.6%, supported by the still-low level of car ownership relative to its population, according to the same source.</w:t>
      </w:r>
    </w:p>
    <w:p>
      <w:pPr>
        <w:spacing w:after="0" w:line="4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impressive growth in China’s used car market is fundamentally driven by the country’s large and fast-growing car parc, coupled with its rising car parc age and favorable government policies. The transaction volume of used cars in China is expected to grow from 15.2 million in 2025 to 21.2 million in 2030, at a CAGR of 6.8%, and used car sales as a percentage of total car sales are expected to rise from 33.6% to 35.9% over the same period, according to CIC.</w:t>
      </w:r>
    </w:p>
    <w:p>
      <w:pPr>
        <w:spacing w:after="0" w:line="53"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As for new cars, China has been the world’s largest new car market in terms of sales volume since 2009, according to CIC, thanks to its sustained economic growth and accelerated urbanization. China’s new car sales volume reached 30.1 million in 2025 and is expected to increase further to 37.9 million in 2030, representing a CAGR of 4.7% over the period, according to CIC.</w:t>
      </w:r>
    </w:p>
    <w:p>
      <w:pPr>
        <w:spacing w:after="0" w:line="3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China’s new car market has seen a tremendous rise of EVs, which is driving a transformative shift in new car sales away from the traditional dealer-centric model towards a direct-to-consumers, or DTC, approach. The DTC sales model requires OEMs to venture into new areas, including leads conversion, order-driven manufacturing, car delivery and after-sales services, all with a focus on engaging directly with customers.</w:t>
      </w:r>
    </w:p>
    <w:p>
      <w:pPr>
        <w:spacing w:after="0" w:line="53"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diagram illustrates the key participants and transaction flows within each of the used car and new car markets. The areas bordered with dotted lines represent the participants and the transaction flows we currently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53340</wp:posOffset>
            </wp:positionV>
            <wp:extent cx="3953510" cy="1752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53510"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1980" w:right="1398" w:hanging="580"/>
        <w:spacing w:after="0" w:line="277" w:lineRule="auto"/>
        <w:tabs>
          <w:tab w:leader="none" w:pos="1960" w:val="left"/>
        </w:tabs>
        <w:rPr>
          <w:sz w:val="20"/>
          <w:szCs w:val="20"/>
          <w:color w:val="auto"/>
        </w:rPr>
      </w:pPr>
      <w:r>
        <w:rPr>
          <w:rFonts w:ascii="Arial" w:cs="Arial" w:eastAsia="Arial" w:hAnsi="Arial"/>
          <w:sz w:val="11"/>
          <w:szCs w:val="11"/>
          <w:b w:val="1"/>
          <w:bCs w:val="1"/>
          <w:color w:val="auto"/>
        </w:rPr>
        <w:t>Note</w:t>
      </w:r>
      <w:r>
        <w:rPr>
          <w:rFonts w:ascii="Arial" w:cs="Arial" w:eastAsia="Arial" w:hAnsi="Arial"/>
          <w:sz w:val="11"/>
          <w:szCs w:val="11"/>
          <w:color w:val="auto"/>
        </w:rPr>
        <w:t>: (1)</w:t>
      </w:r>
      <w:r>
        <w:rPr>
          <w:sz w:val="20"/>
          <w:szCs w:val="20"/>
          <w:color w:val="auto"/>
        </w:rPr>
        <w:tab/>
      </w:r>
      <w:r>
        <w:rPr>
          <w:rFonts w:ascii="Arial" w:cs="Arial" w:eastAsia="Arial" w:hAnsi="Arial"/>
          <w:sz w:val="11"/>
          <w:szCs w:val="11"/>
          <w:color w:val="auto"/>
        </w:rPr>
        <w:t>The percentage figures alongside the arrows represent the approximate contribution by the corresponding channel to the total transaction volume in 2025.</w:t>
      </w:r>
    </w:p>
    <w:p>
      <w:pPr>
        <w:spacing w:after="0" w:line="65" w:lineRule="exact"/>
        <w:rPr>
          <w:sz w:val="20"/>
          <w:szCs w:val="20"/>
          <w:color w:val="auto"/>
        </w:rPr>
      </w:pPr>
    </w:p>
    <w:p>
      <w:pPr>
        <w:ind w:left="1420"/>
        <w:spacing w:after="0"/>
        <w:rPr>
          <w:sz w:val="20"/>
          <w:szCs w:val="20"/>
          <w:color w:val="auto"/>
        </w:rPr>
      </w:pPr>
      <w:r>
        <w:rPr>
          <w:rFonts w:ascii="Arial" w:cs="Arial" w:eastAsia="Arial" w:hAnsi="Arial"/>
          <w:sz w:val="14"/>
          <w:szCs w:val="14"/>
          <w:i w:val="1"/>
          <w:iCs w:val="1"/>
          <w:color w:val="auto"/>
        </w:rPr>
        <w:t>Source: China Insights Consultancy</w:t>
      </w:r>
    </w:p>
    <w:p>
      <w:pPr>
        <w:spacing w:after="0" w:line="12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2" w:name="page193"/>
    <w:bookmarkEnd w:id="19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the used car space, auto merchants include (i) used car dealers and (ii) the used car divisions of authorized dealers. They account for approximately 40% and 40%, respectively, of used cars sourced from consumers, and for 88% and 2%, respectively, of China’s used car sales to consumers in 2025, according to CIC. Authorized dealers sell a substantial portion of their used cars — representing 38% of the total number of used cars sourced from consumers — to used car dealers, according to CIC. In the new car space, key participants mainly include OEMs, authorized dealers and new car brokers. Authorized dealers and new car brokers represent approximately 43% and 45%, respectively, of total new car sales to consumers in 2025, according to CIC. Authorized dealers are facing challenges from OEMs’ adoption of the DTC model, with new car brokers facilitating more direct sales from OEMs to consumers, particularly in lower-tier cities.</w:t>
      </w:r>
    </w:p>
    <w:p>
      <w:pPr>
        <w:spacing w:after="0" w:line="87" w:lineRule="exact"/>
        <w:rPr>
          <w:sz w:val="20"/>
          <w:szCs w:val="20"/>
          <w:color w:val="auto"/>
        </w:rPr>
      </w:pPr>
    </w:p>
    <w:p>
      <w:pPr>
        <w:ind w:left="1660"/>
        <w:spacing w:after="0"/>
        <w:rPr>
          <w:sz w:val="20"/>
          <w:szCs w:val="20"/>
          <w:color w:val="auto"/>
        </w:rPr>
      </w:pPr>
      <w:r>
        <w:rPr>
          <w:rFonts w:ascii="Arial" w:cs="Arial" w:eastAsia="Arial" w:hAnsi="Arial"/>
          <w:sz w:val="14"/>
          <w:szCs w:val="14"/>
          <w:u w:val="single" w:color="auto"/>
          <w:color w:val="auto"/>
        </w:rPr>
        <w:t>Used car dealers in China face several critical challenges.</w:t>
      </w:r>
    </w:p>
    <w:p>
      <w:pPr>
        <w:spacing w:after="0" w:line="109" w:lineRule="exact"/>
        <w:rPr>
          <w:sz w:val="20"/>
          <w:szCs w:val="20"/>
          <w:color w:val="auto"/>
        </w:rPr>
      </w:pPr>
    </w:p>
    <w:p>
      <w:pPr>
        <w:jc w:val="both"/>
        <w:ind w:left="1800" w:right="1398" w:hanging="136"/>
        <w:spacing w:after="0" w:line="245" w:lineRule="auto"/>
        <w:tabs>
          <w:tab w:leader="none" w:pos="1804" w:val="left"/>
        </w:tabs>
        <w:numPr>
          <w:ilvl w:val="0"/>
          <w:numId w:val="8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Large in number, small in scale and geographically dispersed. </w:t>
      </w:r>
      <w:r>
        <w:rPr>
          <w:rFonts w:ascii="Arial" w:cs="Arial" w:eastAsia="Arial" w:hAnsi="Arial"/>
          <w:sz w:val="14"/>
          <w:szCs w:val="14"/>
          <w:color w:val="auto"/>
        </w:rPr>
        <w:t>Used car dealers in China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numerous, small in scale and widely dispersed, resulting in a deep mismatch between the supply of and demand for used cars, difficulty in maintaining credibility, and a lack of the capabilities and resources needed to handle complex car transactions.</w:t>
      </w:r>
    </w:p>
    <w:p>
      <w:pPr>
        <w:spacing w:after="0" w:line="68" w:lineRule="exact"/>
        <w:rPr>
          <w:rFonts w:ascii="Arial" w:cs="Arial" w:eastAsia="Arial" w:hAnsi="Arial"/>
          <w:sz w:val="11"/>
          <w:szCs w:val="11"/>
          <w:color w:val="auto"/>
        </w:rPr>
      </w:pPr>
    </w:p>
    <w:p>
      <w:pPr>
        <w:jc w:val="both"/>
        <w:ind w:left="1800" w:right="1398" w:hanging="136"/>
        <w:spacing w:after="0" w:line="239" w:lineRule="auto"/>
        <w:tabs>
          <w:tab w:leader="none" w:pos="1804" w:val="left"/>
        </w:tabs>
        <w:numPr>
          <w:ilvl w:val="0"/>
          <w:numId w:val="8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Lack of a steady institutional supply of vehicles. </w:t>
      </w:r>
      <w:r>
        <w:rPr>
          <w:rFonts w:ascii="Arial" w:cs="Arial" w:eastAsia="Arial" w:hAnsi="Arial"/>
          <w:sz w:val="14"/>
          <w:szCs w:val="14"/>
          <w:color w:val="auto"/>
        </w:rPr>
        <w:t>Unlike in more mature markets such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United States — where rental fleets, leasing companies, financial institutions and franchise trade-ins channel a large and predictable flow of used cars into the market — China has only a small institutional supply base. As a result, used car dealers must source most of their inventory from dispersed individual consumers, an inherently irregular and unpredictable channel that makes consistent, high-quality inventory difficult to secure.</w:t>
      </w:r>
    </w:p>
    <w:p>
      <w:pPr>
        <w:spacing w:after="0" w:line="86"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8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Complex nature of car transactions. </w:t>
      </w:r>
      <w:r>
        <w:rPr>
          <w:rFonts w:ascii="Arial" w:cs="Arial" w:eastAsia="Arial" w:hAnsi="Arial"/>
          <w:sz w:val="14"/>
          <w:szCs w:val="14"/>
          <w:color w:val="auto"/>
        </w:rPr>
        <w:t>Used car transactions are inherently complex,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requiring a high degree of informational and operational coordination among various collaborators, both online and offline. Very few used car dealers in China, however, have the scale or resources to coordinate effectively with these collaborators. Many collaborators, such as individual inspectors and transporters, are themselves small in scale and geographically dispersed, and offer little assurance of quality or reliability — adding implicit costs for used car dealers.</w:t>
      </w:r>
    </w:p>
    <w:p>
      <w:pPr>
        <w:spacing w:after="0" w:line="86"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8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Volatile new car prices. </w:t>
      </w:r>
      <w:r>
        <w:rPr>
          <w:rFonts w:ascii="Arial" w:cs="Arial" w:eastAsia="Arial" w:hAnsi="Arial"/>
          <w:sz w:val="14"/>
          <w:szCs w:val="14"/>
          <w:color w:val="auto"/>
        </w:rPr>
        <w:t>Intense competition among China’s new car brands, particularly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among EV makers, has made new car prices highly volatile. Because used car values are anchored to the prices of comparable new cars, this volatility flows directly into the used car market, complicating dealers’ acquisition and pricing decisions and exposing them to the risk of sudden inventory write-downs.</w:t>
      </w:r>
    </w:p>
    <w:p>
      <w:pPr>
        <w:spacing w:after="0" w:line="73"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8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Low credibility. </w:t>
      </w:r>
      <w:r>
        <w:rPr>
          <w:rFonts w:ascii="Arial" w:cs="Arial" w:eastAsia="Arial" w:hAnsi="Arial"/>
          <w:sz w:val="14"/>
          <w:szCs w:val="14"/>
          <w:color w:val="auto"/>
        </w:rPr>
        <w:t>Owing to their limited scale and marketing resources, most used car dealers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struggle to establish credibility, resulting in low conversion rates.</w:t>
      </w:r>
    </w:p>
    <w:p>
      <w:pPr>
        <w:spacing w:after="0" w:line="6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Against the backdrop of such a vast, evolving and intensely competitive market, we believe our position as the digital infrastructure and enabler — committed to helping used car dealers overcome these challenges, rather than competing as one of them — positions us well to benefit from the growth of China’s auto commerce industry, regardless of the competition within it.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Service Offerings</w:t>
      </w:r>
    </w:p>
    <w:p>
      <w:pPr>
        <w:spacing w:after="0" w:line="107" w:lineRule="exact"/>
        <w:rPr>
          <w:sz w:val="20"/>
          <w:szCs w:val="20"/>
          <w:color w:val="auto"/>
        </w:rPr>
      </w:pPr>
    </w:p>
    <w:p>
      <w:pPr>
        <w:jc w:val="both"/>
        <w:ind w:left="1420" w:right="1398" w:firstLine="249"/>
        <w:spacing w:after="0" w:line="310" w:lineRule="auto"/>
        <w:rPr>
          <w:sz w:val="20"/>
          <w:szCs w:val="20"/>
          <w:color w:val="auto"/>
        </w:rPr>
      </w:pPr>
      <w:r>
        <w:rPr>
          <w:rFonts w:ascii="Arial" w:cs="Arial" w:eastAsia="Arial" w:hAnsi="Arial"/>
          <w:sz w:val="13"/>
          <w:szCs w:val="13"/>
          <w:color w:val="auto"/>
        </w:rPr>
        <w:t>We have built our service offering under the strategy of “digitalization first, services next,” with the unwavering goal of helping used car dealers increase efficiency, lower costs and enhance profitability.</w:t>
      </w:r>
    </w:p>
    <w:p>
      <w:pPr>
        <w:spacing w:after="0" w:line="6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3" w:name="page194"/>
    <w:bookmarkEnd w:id="19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Digitalization solutions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As a pioneer in China of mobile-based software tools and systems for used car dealers, we brought the industry what was historically unavailable, transforming the inefficient manual processes of hundreds of thousands of dealers with digitalized, integrated solutions.</w:t>
      </w:r>
    </w:p>
    <w:p>
      <w:pPr>
        <w:spacing w:after="0" w:line="76" w:lineRule="exact"/>
        <w:rPr>
          <w:sz w:val="20"/>
          <w:szCs w:val="20"/>
          <w:color w:val="auto"/>
        </w:rPr>
      </w:pPr>
    </w:p>
    <w:p>
      <w:pPr>
        <w:jc w:val="both"/>
        <w:ind w:left="1800" w:right="1398" w:hanging="136"/>
        <w:spacing w:after="0" w:line="251" w:lineRule="auto"/>
        <w:tabs>
          <w:tab w:leader="none" w:pos="1804" w:val="left"/>
        </w:tabs>
        <w:numPr>
          <w:ilvl w:val="0"/>
          <w:numId w:val="87"/>
        </w:numPr>
        <w:rPr>
          <w:rFonts w:ascii="Arial" w:cs="Arial" w:eastAsia="Arial" w:hAnsi="Arial"/>
          <w:sz w:val="11"/>
          <w:szCs w:val="11"/>
          <w:color w:val="auto"/>
        </w:rPr>
      </w:pPr>
      <w:r>
        <w:rPr>
          <w:rFonts w:ascii="Arial" w:cs="Arial" w:eastAsia="Arial" w:hAnsi="Arial"/>
          <w:sz w:val="14"/>
          <w:szCs w:val="14"/>
          <w:color w:val="auto"/>
        </w:rPr>
        <w:t xml:space="preserve">In the used car space, we provide cloud-based, modular digitalization solutions to used car dealers. </w:t>
      </w:r>
      <w:r>
        <w:rPr>
          <w:rFonts w:ascii="Arial" w:cs="Arial" w:eastAsia="Arial" w:hAnsi="Arial"/>
          <w:sz w:val="14"/>
          <w:szCs w:val="14"/>
          <w:i w:val="1"/>
          <w:iCs w:val="1"/>
          <w:color w:val="auto"/>
        </w:rPr>
        <w:t>DaFengChe</w:t>
      </w:r>
      <w:r>
        <w:rPr>
          <w:rFonts w:ascii="Arial" w:cs="Arial" w:eastAsia="Arial" w:hAnsi="Arial"/>
          <w:sz w:val="14"/>
          <w:szCs w:val="14"/>
          <w:color w:val="auto"/>
        </w:rPr>
        <w:t>, our flagship solution, laid the foundation for our competitive advantage and the sustained expansion of our service offering.</w:t>
      </w:r>
    </w:p>
    <w:p>
      <w:pPr>
        <w:spacing w:after="0" w:line="75" w:lineRule="exact"/>
        <w:rPr>
          <w:rFonts w:ascii="Arial" w:cs="Arial" w:eastAsia="Arial" w:hAnsi="Arial"/>
          <w:sz w:val="11"/>
          <w:szCs w:val="11"/>
          <w:color w:val="auto"/>
        </w:rPr>
      </w:pPr>
    </w:p>
    <w:p>
      <w:pPr>
        <w:jc w:val="both"/>
        <w:ind w:left="1800" w:right="1398"/>
        <w:spacing w:after="0" w:line="239" w:lineRule="auto"/>
        <w:rPr>
          <w:rFonts w:ascii="Arial" w:cs="Arial" w:eastAsia="Arial" w:hAnsi="Arial"/>
          <w:sz w:val="11"/>
          <w:szCs w:val="11"/>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began in 2013 with a focused mission: digitalizing used car dealers’ day-to-day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operations, starting with inventory management and CRM. It has since grown from a small enterprise resource planning, or ERP, application into an all-encompassing digital ally for used car dealers.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now spans inventory sourcing and management, marketing, sales, business analysis and internal administration, and, importantly, gives dealers easy access to our essential transaction services.</w:t>
      </w:r>
    </w:p>
    <w:p>
      <w:pPr>
        <w:spacing w:after="0" w:line="75" w:lineRule="exact"/>
        <w:rPr>
          <w:rFonts w:ascii="Arial" w:cs="Arial" w:eastAsia="Arial" w:hAnsi="Arial"/>
          <w:sz w:val="11"/>
          <w:szCs w:val="11"/>
          <w:color w:val="auto"/>
        </w:rPr>
      </w:pPr>
    </w:p>
    <w:p>
      <w:pPr>
        <w:jc w:val="both"/>
        <w:ind w:left="1800" w:right="1398"/>
        <w:spacing w:after="0" w:line="239" w:lineRule="auto"/>
        <w:rPr>
          <w:rFonts w:ascii="Arial" w:cs="Arial" w:eastAsia="Arial" w:hAnsi="Arial"/>
          <w:sz w:val="11"/>
          <w:szCs w:val="11"/>
          <w:color w:val="auto"/>
        </w:rPr>
      </w:pPr>
      <w:r>
        <w:rPr>
          <w:rFonts w:ascii="Arial" w:cs="Arial" w:eastAsia="Arial" w:hAnsi="Arial"/>
          <w:sz w:val="14"/>
          <w:szCs w:val="14"/>
          <w:color w:val="auto"/>
        </w:rPr>
        <w:t xml:space="preserve">Building on this foundation, we have begun embedding AI applications directly into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to support dealers’ most data-intensive decisions — such as which vehicles to acquire, at what price, and how quickly they are likely to sell — drawing on the real-time, granular data accumulated on our platform. We believe these small, early steps mark the beginning of </w:t>
      </w:r>
      <w:r>
        <w:rPr>
          <w:rFonts w:ascii="Arial" w:cs="Arial" w:eastAsia="Arial" w:hAnsi="Arial"/>
          <w:sz w:val="14"/>
          <w:szCs w:val="14"/>
          <w:i w:val="1"/>
          <w:iCs w:val="1"/>
          <w:color w:val="auto"/>
        </w:rPr>
        <w:t>DaFengChe</w:t>
      </w:r>
      <w:r>
        <w:rPr>
          <w:rFonts w:ascii="Arial" w:cs="Arial" w:eastAsia="Arial" w:hAnsi="Arial"/>
          <w:sz w:val="14"/>
          <w:szCs w:val="14"/>
          <w:color w:val="auto"/>
        </w:rPr>
        <w:t>’s evolution from a system that digitalizes a dealer’s operations into one that</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helps to run them.</w:t>
      </w:r>
    </w:p>
    <w:p>
      <w:pPr>
        <w:spacing w:after="0" w:line="86" w:lineRule="exact"/>
        <w:rPr>
          <w:rFonts w:ascii="Arial" w:cs="Arial" w:eastAsia="Arial" w:hAnsi="Arial"/>
          <w:sz w:val="11"/>
          <w:szCs w:val="11"/>
          <w:color w:val="auto"/>
        </w:rPr>
      </w:pPr>
    </w:p>
    <w:p>
      <w:pPr>
        <w:jc w:val="both"/>
        <w:ind w:left="1800" w:right="1398"/>
        <w:spacing w:after="0" w:line="251" w:lineRule="auto"/>
        <w:rPr>
          <w:rFonts w:ascii="Arial" w:cs="Arial" w:eastAsia="Arial" w:hAnsi="Arial"/>
          <w:sz w:val="11"/>
          <w:szCs w:val="11"/>
          <w:color w:val="auto"/>
        </w:rPr>
      </w:pPr>
      <w:r>
        <w:rPr>
          <w:rFonts w:ascii="Arial" w:cs="Arial" w:eastAsia="Arial" w:hAnsi="Arial"/>
          <w:sz w:val="14"/>
          <w:szCs w:val="14"/>
          <w:color w:val="auto"/>
        </w:rPr>
        <w:t xml:space="preserve">Beyond the inherent benefits of digitalization, our prevalent market penetration lets us offer dealers added value through </w:t>
      </w:r>
      <w:r>
        <w:rPr>
          <w:rFonts w:ascii="Arial" w:cs="Arial" w:eastAsia="Arial" w:hAnsi="Arial"/>
          <w:sz w:val="14"/>
          <w:szCs w:val="14"/>
          <w:i w:val="1"/>
          <w:iCs w:val="1"/>
          <w:color w:val="auto"/>
        </w:rPr>
        <w:t>DaFengChe</w:t>
      </w:r>
      <w:r>
        <w:rPr>
          <w:rFonts w:ascii="Arial" w:cs="Arial" w:eastAsia="Arial" w:hAnsi="Arial"/>
          <w:sz w:val="14"/>
          <w:szCs w:val="14"/>
          <w:color w:val="auto"/>
        </w:rPr>
        <w:t>, including industry best practices, market intelligence, and dealer-to-dealer collaboration opportunities.</w:t>
      </w:r>
    </w:p>
    <w:p>
      <w:pPr>
        <w:spacing w:after="0" w:line="75"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87"/>
        </w:numPr>
        <w:rPr>
          <w:rFonts w:ascii="Arial" w:cs="Arial" w:eastAsia="Arial" w:hAnsi="Arial"/>
          <w:sz w:val="11"/>
          <w:szCs w:val="11"/>
          <w:color w:val="auto"/>
        </w:rPr>
      </w:pPr>
      <w:r>
        <w:rPr>
          <w:rFonts w:ascii="Arial" w:cs="Arial" w:eastAsia="Arial" w:hAnsi="Arial"/>
          <w:sz w:val="14"/>
          <w:szCs w:val="14"/>
          <w:color w:val="auto"/>
        </w:rPr>
        <w:t>In the new car space, we build customer engagement systems and applications for OEMs, including storefront management systems, customer-facing mobile applications and mini-programs. For new car brokers, we offer an integrated operating system and listing platform that addresses both their daily management and inventory sourcing needs.</w:t>
      </w:r>
    </w:p>
    <w:p>
      <w:pPr>
        <w:spacing w:after="0" w:line="92"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services</w:t>
      </w:r>
    </w:p>
    <w:p>
      <w:pPr>
        <w:spacing w:after="0" w:line="96"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Running a used car dealership is a complex business of many tedious steps. Starting with the “goods for sale” themselves — they do not come in batches with clean packaging — each used car is unique and must be located, inspected, priced for procurement, often physically moved from one city to another, washed and reconditioned, photographed for online store presence, advertised, priced for sale, and eventually sold. That is a long list of tasks, calling for collaboration with other dealers and numerous third-party services, and creating an abundance of revenue opportunities for us.</w:t>
      </w:r>
    </w:p>
    <w:p>
      <w:pPr>
        <w:spacing w:after="0" w:line="7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Leveraging the data, insight and connections we have built within China’s used car ecosystem, we offer used car dealers and their collaborators several essential transaction services that are easier to access and higher in quality, currently including B2B transaction facilitation, used car inspection and certification, and delivery services. Our delivery services also serve OEM clients with single-car delivery needs.</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By integrating these transaction services with our digitalization solutions, our platform has evolved into a convenient, all-in-one hub that delivers high-quality services to dealers and their collaborators with consistency and reliability. It has laid the execution foundation for the truly agentic AI application we aspire to build in this vertical industry.</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4" w:name="page195"/>
    <w:bookmarkEnd w:id="19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Strengths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believe the following competitive strengths contribute to our success and differentiate us from our competitors:</w:t>
      </w:r>
    </w:p>
    <w:p>
      <w:pPr>
        <w:spacing w:after="0" w:line="105"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Unique Business Model Balancing Stability and Growth in a Massive Market</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Our business model consists of two synergistic layers — digitalization solutions and transaction services — each of which contributes critical value. Our digitalization solutions create a stable, in-depth connection between us and a vast base of used car dealers. This connection gives us a highly effective, reliable and low-cost channel to market our transaction services, along with a wealth of proprietary industry data and insight to refine them.</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strength of this connection is reflected in usage: 83,467, 87,318 and 77,485 active users of our digitalization platforms were also customers of our transaction services in 2023, 2024 and 2025, respectively, with the 2025 user number affected by the Disposition in December 2024. We expect this connection to continue to support our monetization as we expand the reach of our transaction services.</w:t>
      </w:r>
    </w:p>
    <w:p>
      <w:pPr>
        <w:spacing w:after="0" w:line="63"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Together, these two layers give us both stability and growth potential, a valuable and rare combination:</w:t>
      </w:r>
    </w:p>
    <w:p>
      <w:pPr>
        <w:spacing w:after="0" w:line="41" w:lineRule="exact"/>
        <w:rPr>
          <w:sz w:val="20"/>
          <w:szCs w:val="20"/>
          <w:color w:val="auto"/>
        </w:rPr>
      </w:pPr>
    </w:p>
    <w:p>
      <w:pPr>
        <w:jc w:val="both"/>
        <w:ind w:left="1800" w:right="1398" w:hanging="136"/>
        <w:spacing w:after="0" w:line="241" w:lineRule="auto"/>
        <w:tabs>
          <w:tab w:leader="none" w:pos="1804" w:val="left"/>
        </w:tabs>
        <w:numPr>
          <w:ilvl w:val="0"/>
          <w:numId w:val="88"/>
        </w:numPr>
        <w:rPr>
          <w:rFonts w:ascii="Arial" w:cs="Arial" w:eastAsia="Arial" w:hAnsi="Arial"/>
          <w:sz w:val="11"/>
          <w:szCs w:val="11"/>
          <w:color w:val="auto"/>
        </w:rPr>
      </w:pPr>
      <w:r>
        <w:rPr>
          <w:rFonts w:ascii="Arial" w:cs="Arial" w:eastAsia="Arial" w:hAnsi="Arial"/>
          <w:sz w:val="14"/>
          <w:szCs w:val="14"/>
          <w:color w:val="auto"/>
        </w:rPr>
        <w:t>Our digitalization solutions provide stability. Characterized by high switching costs, recurring use and strong retention, they anchor a durable, sticky relationship with our dealers — a resilient base of engagement that holds through industry cycles. This stable foundation is what makes our growth engine reliable rather than speculative: it is the low-cost, high-trust channel through which we introduce and scale our transaction services.</w:t>
      </w:r>
    </w:p>
    <w:p>
      <w:pPr>
        <w:spacing w:after="0" w:line="73"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88"/>
        </w:numPr>
        <w:rPr>
          <w:rFonts w:ascii="Arial" w:cs="Arial" w:eastAsia="Arial" w:hAnsi="Arial"/>
          <w:sz w:val="11"/>
          <w:szCs w:val="11"/>
          <w:color w:val="auto"/>
        </w:rPr>
      </w:pPr>
      <w:r>
        <w:rPr>
          <w:rFonts w:ascii="Arial" w:cs="Arial" w:eastAsia="Arial" w:hAnsi="Arial"/>
          <w:sz w:val="14"/>
          <w:szCs w:val="14"/>
          <w:color w:val="auto"/>
        </w:rPr>
        <w:t>Our transaction services provide growth. They are volume-driven and industry-wide. As used car transaction volumes rise in China and our penetration of the MAU dealer base increases, our revenue is likely to grow with them. We can further expand the value we capture from each dealer relationship by broadening our range of services. With used car transactions in China projected to grow from 15.2 million in 2025 to 21.2 million in 2030 according to CIC, this growth potential rests on a large and expanding market — not on any individual dealer, any type of used car, whether conventional or electric, or any particular region.</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Data-Powered Capabilities and a Growing Suite of AI Agents</w:t>
      </w:r>
    </w:p>
    <w:p>
      <w:pPr>
        <w:spacing w:after="0" w:line="9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 the operating system that China’s used car dealers run their businesses on, we hold a large and granular body of proprietary data on both dealers and the vehicles they trade. We assign over 300 data points to each used car dealer — covering primary brands and models, inventory level and turnover, sale prices, lead conversion and regional ranking — and over 70 data points to each used car, from make, model, production year and mileage to inspection history, price and body and interior color. We believe a system of record is necessary but not sufficient; the value lies in turning that record into a system of intelligence that helps dealers run their businesses better.</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Over the years, we have steadily built that intelligence into our platform. Today our data powers a growing suite of AI agents embedded across a dealer’s workflow — from sourcing and pricing to listing, marketing and sale. A few examples illustrate the breadth:</w:t>
      </w:r>
    </w:p>
    <w:p>
      <w:pPr>
        <w:spacing w:after="0" w:line="45" w:lineRule="exact"/>
        <w:rPr>
          <w:sz w:val="20"/>
          <w:szCs w:val="20"/>
          <w:color w:val="auto"/>
        </w:rPr>
      </w:pPr>
    </w:p>
    <w:p>
      <w:pPr>
        <w:jc w:val="both"/>
        <w:ind w:left="1800" w:right="1398" w:hanging="136"/>
        <w:spacing w:after="0" w:line="238" w:lineRule="auto"/>
        <w:tabs>
          <w:tab w:leader="none" w:pos="1783" w:val="left"/>
        </w:tabs>
        <w:numPr>
          <w:ilvl w:val="0"/>
          <w:numId w:val="89"/>
        </w:numPr>
        <w:rPr>
          <w:rFonts w:ascii="Arial" w:cs="Arial" w:eastAsia="Arial" w:hAnsi="Arial"/>
          <w:sz w:val="11"/>
          <w:szCs w:val="11"/>
          <w:color w:val="auto"/>
        </w:rPr>
      </w:pPr>
      <w:r>
        <w:rPr>
          <w:rFonts w:ascii="Arial" w:cs="Arial" w:eastAsia="Arial" w:hAnsi="Arial"/>
          <w:sz w:val="14"/>
          <w:szCs w:val="14"/>
          <w:color w:val="auto"/>
        </w:rPr>
        <w:t>Pricing and market intelligence. When a dealer is weighing whether to acquire a particular car and at what price, our valuation agent returns an acquisition-price and resale-price range for that exact model, adjusted for the vehicle’s condition, while our market-intelligence agent shows live supply-and-demand for the same model in the dealer’s selected city and specified time period — comparable listings, recent transaction prices, and the average days to sale. Together they turn a judgment call that once rested entirely on a dealer’s instinct or “experience” into a data-grounded decision.</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5" w:name="page196"/>
    <w:bookmarkEnd w:id="19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800" w:right="1398" w:hanging="136"/>
        <w:spacing w:after="0" w:line="239" w:lineRule="auto"/>
        <w:tabs>
          <w:tab w:leader="none" w:pos="1783" w:val="left"/>
        </w:tabs>
        <w:numPr>
          <w:ilvl w:val="0"/>
          <w:numId w:val="90"/>
        </w:numPr>
        <w:rPr>
          <w:rFonts w:ascii="Arial" w:cs="Arial" w:eastAsia="Arial" w:hAnsi="Arial"/>
          <w:sz w:val="11"/>
          <w:szCs w:val="11"/>
          <w:color w:val="auto"/>
        </w:rPr>
      </w:pPr>
      <w:r>
        <w:rPr>
          <w:rFonts w:ascii="Arial" w:cs="Arial" w:eastAsia="Arial" w:hAnsi="Arial"/>
          <w:sz w:val="14"/>
          <w:szCs w:val="14"/>
          <w:color w:val="auto"/>
        </w:rPr>
        <w:t>Listing and marketing. Our photo agent automatically upgrades listing images — for example, replacing a cluttered background with a clean, studio-quality setting — so a small dealer’s listings look professional without the studio or photographer they would otherwise have to pay for. Our marketing agents extend this to short-video and social channels such as Douyin, helping dealers reach buyers and capture leads, including by drafting and auto-replying to inbound inquiries.</w:t>
      </w:r>
    </w:p>
    <w:p>
      <w:pPr>
        <w:spacing w:after="0" w:line="54" w:lineRule="exact"/>
        <w:rPr>
          <w:rFonts w:ascii="Arial" w:cs="Arial" w:eastAsia="Arial" w:hAnsi="Arial"/>
          <w:sz w:val="11"/>
          <w:szCs w:val="11"/>
          <w:color w:val="auto"/>
        </w:rPr>
      </w:pPr>
    </w:p>
    <w:p>
      <w:pPr>
        <w:jc w:val="both"/>
        <w:ind w:left="1800" w:right="1398" w:hanging="136"/>
        <w:spacing w:after="0" w:line="237" w:lineRule="auto"/>
        <w:tabs>
          <w:tab w:leader="none" w:pos="1804" w:val="left"/>
        </w:tabs>
        <w:numPr>
          <w:ilvl w:val="0"/>
          <w:numId w:val="90"/>
        </w:numPr>
        <w:rPr>
          <w:rFonts w:ascii="Arial" w:cs="Arial" w:eastAsia="Arial" w:hAnsi="Arial"/>
          <w:sz w:val="11"/>
          <w:szCs w:val="11"/>
          <w:color w:val="auto"/>
        </w:rPr>
      </w:pPr>
      <w:r>
        <w:rPr>
          <w:rFonts w:ascii="Arial" w:cs="Arial" w:eastAsia="Arial" w:hAnsi="Arial"/>
          <w:sz w:val="14"/>
          <w:szCs w:val="14"/>
          <w:color w:val="auto"/>
        </w:rPr>
        <w:t>Sales and follow-up. Our sales agents help dealers convert leads into deals. When a salesperson calls a prospect through our app, the call is recorded and our AI summarizes it into a structured follow-up record — an intent rating, a concise summary, the customer’s sentiment, a compliance check, and a recommended next step — and adds it to a running history of every interaction with that customer. In our most advanced application, the agent transcribes a live customer conversation, extracts the customer’s needs and intent, updates the customer’s profile, and matches those needs against the dealer’s own inventory to surface the right car to offer next.</w:t>
      </w:r>
    </w:p>
    <w:p>
      <w:pPr>
        <w:spacing w:after="0" w:line="5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What ties these agents together is the proprietary data and dealer relationships that underpin the rest of our business: each agent is only as good as the data behind it, and that data is what others cannot easily replicate. As we extend this system of intelligence across more of the workflow, we not only deepen the value we deliver to dealers — we are building, piece by piece, toward the truly agentic AI applications that we believe will define the future of China’s used car commerce.</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 Widening and Deepening Moat</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believe our market position is not only strong today but structurally difficult for any challenger to erode, for three reinforcing reasons.</w:t>
      </w:r>
    </w:p>
    <w:p>
      <w:pPr>
        <w:spacing w:after="0" w:line="3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i w:val="1"/>
          <w:iCs w:val="1"/>
          <w:color w:val="auto"/>
        </w:rPr>
        <w:t>Switching costs are high and rise with use</w:t>
      </w:r>
      <w:r>
        <w:rPr>
          <w:rFonts w:ascii="Arial" w:cs="Arial" w:eastAsia="Arial" w:hAnsi="Arial"/>
          <w:sz w:val="14"/>
          <w:szCs w:val="14"/>
          <w:color w:val="auto"/>
        </w:rPr>
        <w:t>. Our operating system sits at the center of a dealer’s</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holding the data, records and workflows the dealer relies on every day. Migrating away would require a dealer to re-tune nearly every aspect of its operations, retrain its workforce, and give up much of the institutional history accumulated on our system. Each additional service we integrate into a dealer’s workflow raises the cost and disruption of leaving, so the longer and more deeply a dealer uses our platform, the less economically rational it becomes to switch.</w:t>
      </w:r>
    </w:p>
    <w:p>
      <w:pPr>
        <w:spacing w:after="0" w:line="5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i w:val="1"/>
          <w:iCs w:val="1"/>
          <w:color w:val="auto"/>
        </w:rPr>
        <w:t>The incumbent’s advantage compounds as we evolve</w:t>
      </w:r>
      <w:r>
        <w:rPr>
          <w:rFonts w:ascii="Arial" w:cs="Arial" w:eastAsia="Arial" w:hAnsi="Arial"/>
          <w:sz w:val="14"/>
          <w:szCs w:val="14"/>
          <w:color w:val="auto"/>
        </w:rPr>
        <w:t>. To displace us, a challenger would need</w:t>
      </w:r>
      <w:r>
        <w:rPr>
          <w:rFonts w:ascii="Arial" w:cs="Arial" w:eastAsia="Arial" w:hAnsi="Arial"/>
          <w:sz w:val="14"/>
          <w:szCs w:val="14"/>
          <w:i w:val="1"/>
          <w:iCs w:val="1"/>
          <w:color w:val="auto"/>
        </w:rPr>
        <w:t xml:space="preserve"> </w:t>
      </w:r>
      <w:r>
        <w:rPr>
          <w:rFonts w:ascii="Arial" w:cs="Arial" w:eastAsia="Arial" w:hAnsi="Arial"/>
          <w:sz w:val="14"/>
          <w:szCs w:val="14"/>
          <w:color w:val="auto"/>
        </w:rPr>
        <w:t>to offer not a marginally better system but a dramatically superior one — enough to justify the switching costs above. We believe this would prove very challenging because incumbency itself is our advantage: with the widest user base in the used car industry, and as more dealers use our digitalization solutions for deeper aspects of their operations and complete more transactions through our services, we receive more usage, more feedback and more data than any competitor, which lets us improve our offerings faster than a challenger could realistically close the gap.</w:t>
      </w:r>
    </w:p>
    <w:p>
      <w:pPr>
        <w:spacing w:after="0" w:line="5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i w:val="1"/>
          <w:iCs w:val="1"/>
          <w:color w:val="auto"/>
        </w:rPr>
        <w:t>Our network is difficult to replicate one dealer at a time</w:t>
      </w:r>
      <w:r>
        <w:rPr>
          <w:rFonts w:ascii="Arial" w:cs="Arial" w:eastAsia="Arial" w:hAnsi="Arial"/>
          <w:sz w:val="14"/>
          <w:szCs w:val="14"/>
          <w:color w:val="auto"/>
        </w:rPr>
        <w:t>. Much of our platform’s value comes</w:t>
      </w:r>
      <w:r>
        <w:rPr>
          <w:rFonts w:ascii="Arial" w:cs="Arial" w:eastAsia="Arial" w:hAnsi="Arial"/>
          <w:sz w:val="14"/>
          <w:szCs w:val="14"/>
          <w:i w:val="1"/>
          <w:iCs w:val="1"/>
          <w:color w:val="auto"/>
        </w:rPr>
        <w:t xml:space="preserve"> </w:t>
      </w:r>
      <w:r>
        <w:rPr>
          <w:rFonts w:ascii="Arial" w:cs="Arial" w:eastAsia="Arial" w:hAnsi="Arial"/>
          <w:sz w:val="14"/>
          <w:szCs w:val="14"/>
          <w:color w:val="auto"/>
        </w:rPr>
        <w:t>from connections among dealers and their collaborators, not merely from our relationship with each dealer individually. Dealers trust one another to share inventory through self-organized alliances on our platform, and they rely on a shared base of inspectors and logistics providers we have built up over years. Because this value is collective, a challenger would have to persuade a critical mass of interdependent participants to migrate in concert — a coordination barrier we believe is exceptionally difficult to overcome.</w:t>
      </w:r>
    </w:p>
    <w:p>
      <w:pPr>
        <w:spacing w:after="0" w:line="8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durability of our position is evidenced by our dealer relationships. Of the top 100 used car dealers by inventory on our platform as of December 31, 2018, 100% remained on our system as of December 31, 2025, other than those that have since gone out of business. Among the top 100 used car dealers in China in 2025 (as ranked by the China Automobile Dealers Association), 66 had used our services for more than five years and 93 for more than two years, as of December 31, 2025. We believe this longevity, sustained through cycles in the broader auto market, is evidence that the advantages described above translate into durable relationships — and that this loyalty deepens as our platform expands.</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6" w:name="page197"/>
    <w:bookmarkEnd w:id="19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Visionary Management Team with Deep Industry Expertise</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are led by our founder and chief executive officer, Mr. Junhong Yao, a pioneer in China’s auto industry with over 20 years of experience, who co-founded CAR Inc., one of China’s largest car rental companies.</w:t>
      </w:r>
    </w:p>
    <w:p>
      <w:pPr>
        <w:spacing w:after="0" w:line="45"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Driven by a conviction in the power of digital transformation, Mr. Yao set out to solve the structural challenges of China’s auto commerce and has led the building of our business from the ground up. We believe his vision, industry insight and operating instinct have been indispensable to our success, and that the depth of our management team’s industry expertise positions us to navigate a fast-changing market.</w:t>
      </w:r>
    </w:p>
    <w:p>
      <w:pPr>
        <w:spacing w:after="0" w:line="9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Strategies</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3"/>
          <w:szCs w:val="13"/>
          <w:b w:val="1"/>
          <w:bCs w:val="1"/>
          <w:i w:val="1"/>
          <w:iCs w:val="1"/>
          <w:color w:val="auto"/>
        </w:rPr>
        <w:t>Continue to Propel Used Car Industry Evolution Through Digitalization and AI Applications</w:t>
      </w:r>
    </w:p>
    <w:p>
      <w:pPr>
        <w:spacing w:after="0" w:line="7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aim to bring our digitalization solutions to more of China’s used car dealers, particularly the large number of small and medium-sized long-tail dealers whose operations remain largely manual and inefficient. Beyond reaching more dealers, we intend to support more steps of their daily operations, from inventory sourcing and management to marketing, sales and customer management, with our digital functionalities.</w:t>
      </w:r>
    </w:p>
    <w:p>
      <w:pPr>
        <w:spacing w:after="0" w:line="42"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Most importantly, we intend to make those operations not just digital but intelligent. We are embedding AI applications ever more deeply into our dealers’ workflows, helping them make better decisions at each step — what to buy, how to price, how to market and how to close — and we will continue to expand this suite of AI agents as the data underlying them grows richer. Our goal is to evolve from digitalizing a dealer’s operations to actively helping run the business.</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Broaden the Scope and Deepen the Penetration of Our Transaction Services</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are exceptionally well positioned to provide transaction services across China’s used car ecosystem — both among dealers themselves and between dealers and their collaborators. We see significant room for more and better services to reduce friction and inefficiency on both fronts, and we are still early in monetizing them. We therefore intend to broaden the scope of our transaction services and deepen their penetration across our MAU dealer base, selling more services to more dealers and other industry participants through both cross-selling and upselling.</w:t>
      </w:r>
    </w:p>
    <w:p>
      <w:pPr>
        <w:spacing w:after="0" w:line="6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 dealer’s core operations, and much of its inter-dealer and dealer-collaborator activity, are managed on the digital infrastructure we have built — which gives us the opportunity to introduce our transaction services directly into the workflow, where they are easy to reach and a natural extension of how dealers already work. Our granular understanding of what dealers need also lets us tailor those services: in used car B2B transaction facilitation, for instance, our insight into both the buying and the selling dealers enables matches that save both sides time and effort — a data-driven edge we believe sets our services apart.</w:t>
      </w:r>
    </w:p>
    <w:p>
      <w:pPr>
        <w:spacing w:after="0" w:line="55"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we do so, we expect to increase our wallet share with each dealer and to become an ever more indispensable partner to dealers and their collaborators.</w:t>
      </w:r>
    </w:p>
    <w:p>
      <w:pPr>
        <w:spacing w:after="0" w:line="5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Advance Our AI Applications to Further Empower Used Car Dealers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Across a used car dealer’s workflow, we see many steps that stand to meaningfully benefit from better connectivity and intelligence.</w:t>
      </w:r>
    </w:p>
    <w:p>
      <w:pPr>
        <w:spacing w:after="0" w:line="41"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the near term, we intend to sharpen the AI applications we have already deployed while continuously developing new ones to take on more of a used car dealer’s tasks. The more our AI agents work — across sourcing, pricing, listing, marketing and sales — the more capable they become. We then aim to gradually connect these agents into an integrated workflow, so that together they can complete a larger task from beginning to end. Our goal is for a dealer to rely on our AI not merely for a recommendation at a single moment, but to hand over a meaningful amount of work while retaining supervision and control.</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7" w:name="page198"/>
    <w:bookmarkEnd w:id="19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Looking further ahead, we envision fusing our industry -specific AI capabilities with general-purpose AI models to deliver truly agentic AI applications for consumer-facing used car commerce. Given the pace of progress in general-purpose AI, we think this opportunity may arrive sooner than it might appear today.</w:t>
      </w:r>
    </w:p>
    <w:p>
      <w:pPr>
        <w:spacing w:after="0" w:line="6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Expand Globally Alongside Our Dealers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China’s used car exports have grown markedly. As more of our dealers extend their businesses overseas, we believe the most natural and effective way for us to expand internationally is to go alongside them — serving their new, cross-border needs that come with going global.</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intend to digitally connect the wholesale dealers who source Chinese used cars with the local retailers they sell to in markets worldwide, drawing on our live, continuously updated supply of used cars in China.</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can further support these export efforts by inspecting the vehicles and delivering them to port through our delivery network, which encompasses warehousing, shipping, title transfer and customs clearance services.</w:t>
      </w:r>
    </w:p>
    <w:p>
      <w:pPr>
        <w:spacing w:after="0" w:line="6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believe the digital functionalities we have built for China’s used car dealers can help solve similar problems for dealers elsewhere — especially in developing markets where dealers moved straight into the mobile age without passing through an era of PC-based digitalization. Once our digital presence in an overseas market attracts a critical mass of local dealers, we may then explore replicating our transaction service matrix there.</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Journey</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Helping used car dealers was the objective underpinning our founding. It has been, for the past decade, our dedication and primary focus. Unbefitting the massive size and fast growth of China’s used car market, used car dealers, who undoubtedly play the most critical role in the used car market, mostly operated in a primitive and inefficient fashion. Their operating process, from inventory sourcing to inventory management, to marketing and customer management, to internal administration and financial analysis, was nearly all offline with key operational information scattered, unconnected and unanalyzable.</w:t>
      </w:r>
    </w:p>
    <w:p>
      <w:pPr>
        <w:spacing w:after="0" w:line="55"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 xml:space="preserve">It is against this backdrop that we embarked on our journey of digitalizing China’s used car commerce by providing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to used car dealers.</w:t>
      </w:r>
    </w:p>
    <w:p>
      <w:pPr>
        <w:spacing w:after="0" w:line="3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initially carried the mission of digitalizing and streamlining crucial aspects of used car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dealers’ day-to-day operations, starting with inventory management on a SaaS application. It was an arduous journey as most used car dealers in China were not naturally adaptive to digital tools and systems in 2013, given their educational background and work experience. It took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nearly four years to gain substantial traction with China’s used car dealers, and nine years to reach an impressive market share of over 90%, according to CIC.</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As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gained wide adoption by used car dealers, we began to layer on various transaction services in our offering, such as B2B transaction facilitation services, used car inspection and certification services, delivery services and financial product referral services.</w:t>
      </w:r>
    </w:p>
    <w:p>
      <w:pPr>
        <w:spacing w:after="0" w:line="45"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Since 2013,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gradually grew from a small enterprise resource planning, or ERP, application to an all-encompassing digital ally for used car dealers, covering all aspects of used car dealers’ operations. Substantially all of our services offered to used car dealers are integrated on </w:t>
      </w:r>
      <w:r>
        <w:rPr>
          <w:rFonts w:ascii="Arial" w:cs="Arial" w:eastAsia="Arial" w:hAnsi="Arial"/>
          <w:sz w:val="14"/>
          <w:szCs w:val="14"/>
          <w:i w:val="1"/>
          <w:iCs w:val="1"/>
          <w:color w:val="auto"/>
        </w:rPr>
        <w:t>DaFengChe</w:t>
      </w:r>
      <w:r>
        <w:rPr>
          <w:rFonts w:ascii="Arial" w:cs="Arial" w:eastAsia="Arial" w:hAnsi="Arial"/>
          <w:sz w:val="14"/>
          <w:szCs w:val="14"/>
          <w:color w:val="auto"/>
        </w:rPr>
        <w:t>. Such integration provides used car dealers with an affordable one-stop-shop to conduct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their businesses and sales conveniently and seamlessly. With the add-ons of various high-quality ancillary services,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helps used car dealers reduce the hassle and costs associated with sourcing services from a number of dispersed suppliers with unassured qualities. By using </w:t>
      </w:r>
      <w:r>
        <w:rPr>
          <w:rFonts w:ascii="Arial" w:cs="Arial" w:eastAsia="Arial" w:hAnsi="Arial"/>
          <w:sz w:val="14"/>
          <w:szCs w:val="14"/>
          <w:i w:val="1"/>
          <w:iCs w:val="1"/>
          <w:color w:val="auto"/>
        </w:rPr>
        <w:t>DaFengChe</w:t>
      </w:r>
      <w:r>
        <w:rPr>
          <w:rFonts w:ascii="Arial" w:cs="Arial" w:eastAsia="Arial" w:hAnsi="Arial"/>
          <w:sz w:val="14"/>
          <w:szCs w:val="14"/>
          <w:color w:val="auto"/>
        </w:rPr>
        <w:t>, used car dealers can streamline their operations, save valuable time and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optimize resources, which results in improved efficiency.</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8" w:name="page199"/>
    <w:bookmarkEnd w:id="19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We had approximately 156,000, 161,000 and 156,000 auto merchants who accessed our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platform at least once in 2023, 2024 and 2025, respectively. As each auto merchant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typically maintains multiple individual user accounts for its employees, the corresponding number of unique individual accounts that accessed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at least once during the same years was 395,453, 405,103 and 404,522, respectively, which we believe illustrates the broad penetration of </w:t>
      </w:r>
      <w:r>
        <w:rPr>
          <w:rFonts w:ascii="Arial" w:cs="Arial" w:eastAsia="Arial" w:hAnsi="Arial"/>
          <w:sz w:val="14"/>
          <w:szCs w:val="14"/>
          <w:i w:val="1"/>
          <w:iCs w:val="1"/>
          <w:color w:val="auto"/>
        </w:rPr>
        <w:t xml:space="preserve">DaFengChe </w:t>
      </w:r>
      <w:r>
        <w:rPr>
          <w:rFonts w:ascii="Arial" w:cs="Arial" w:eastAsia="Arial" w:hAnsi="Arial"/>
          <w:sz w:val="14"/>
          <w:szCs w:val="14"/>
          <w:color w:val="auto"/>
        </w:rPr>
        <w:t>among used car industry practitioner.</w:t>
      </w:r>
    </w:p>
    <w:p>
      <w:pPr>
        <w:spacing w:after="0" w:line="76" w:lineRule="exact"/>
        <w:rPr>
          <w:sz w:val="20"/>
          <w:szCs w:val="20"/>
          <w:color w:val="auto"/>
        </w:rPr>
      </w:pPr>
    </w:p>
    <w:p>
      <w:pPr>
        <w:ind w:left="1420" w:right="1478" w:firstLine="249"/>
        <w:spacing w:after="0" w:line="271" w:lineRule="auto"/>
        <w:rPr>
          <w:sz w:val="20"/>
          <w:szCs w:val="20"/>
          <w:color w:val="auto"/>
        </w:rPr>
      </w:pPr>
      <w:r>
        <w:rPr>
          <w:rFonts w:ascii="Arial" w:cs="Arial" w:eastAsia="Arial" w:hAnsi="Arial"/>
          <w:sz w:val="14"/>
          <w:szCs w:val="14"/>
          <w:color w:val="auto"/>
        </w:rPr>
        <w:t>The following is a story of one of our used car dealer users, with whom we have worked together for years and whose success we are proud to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71120</wp:posOffset>
            </wp:positionV>
            <wp:extent cx="3953510" cy="36302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53510" cy="3630295"/>
                    </a:xfrm>
                    <a:prstGeom prst="rect">
                      <a:avLst/>
                    </a:prstGeom>
                    <a:noFill/>
                  </pic:spPr>
                </pic:pic>
              </a:graphicData>
            </a:graphic>
          </wp:anchor>
        </w:drawing>
      </w:r>
    </w:p>
    <w:p>
      <w:pPr>
        <w:spacing w:after="0" w:line="189" w:lineRule="exact"/>
        <w:rPr>
          <w:sz w:val="20"/>
          <w:szCs w:val="20"/>
          <w:color w:val="auto"/>
        </w:rPr>
      </w:pPr>
    </w:p>
    <w:p>
      <w:pPr>
        <w:jc w:val="both"/>
        <w:ind w:left="1480" w:right="1458" w:firstLine="249"/>
        <w:spacing w:after="0" w:line="250" w:lineRule="auto"/>
        <w:rPr>
          <w:sz w:val="20"/>
          <w:szCs w:val="20"/>
          <w:color w:val="auto"/>
        </w:rPr>
      </w:pPr>
      <w:r>
        <w:rPr>
          <w:rFonts w:ascii="Arial" w:cs="Arial" w:eastAsia="Arial" w:hAnsi="Arial"/>
          <w:sz w:val="14"/>
          <w:szCs w:val="14"/>
          <w:i w:val="1"/>
          <w:iCs w:val="1"/>
          <w:color w:val="auto"/>
        </w:rPr>
        <w:t>In 2009, MMCAR started as a small used car dealership with just three employees, selling an average of 10 cars each month. Their operations relied on manual processes, or sometimes even mental memories.</w:t>
      </w:r>
    </w:p>
    <w:p>
      <w:pPr>
        <w:spacing w:after="0" w:line="78" w:lineRule="exact"/>
        <w:rPr>
          <w:sz w:val="20"/>
          <w:szCs w:val="20"/>
          <w:color w:val="auto"/>
        </w:rPr>
      </w:pPr>
    </w:p>
    <w:p>
      <w:pPr>
        <w:jc w:val="both"/>
        <w:ind w:left="1480" w:right="1458" w:firstLine="249"/>
        <w:spacing w:after="0" w:line="236" w:lineRule="auto"/>
        <w:rPr>
          <w:sz w:val="20"/>
          <w:szCs w:val="20"/>
          <w:color w:val="auto"/>
        </w:rPr>
      </w:pPr>
      <w:r>
        <w:rPr>
          <w:rFonts w:ascii="Arial" w:cs="Arial" w:eastAsia="Arial" w:hAnsi="Arial"/>
          <w:sz w:val="14"/>
          <w:szCs w:val="14"/>
          <w:i w:val="1"/>
          <w:iCs w:val="1"/>
          <w:color w:val="auto"/>
        </w:rPr>
        <w:t>In July 2015, MMCAR took a step forward by adopting DaFengChe. This move transformed how they operated. The dealership transitioned its primary work flows from offline to online, as DaFengChe streamlined most facets of its daily activities. DaFengChe offered a wide range of tools that made it easy for MMCAR to handle multiple tasks including finding used cars, getting new customers, nurturing leads, making sales and more, all within a unified digital operating environment, which yielded substantial improvements in inventory turnover and operational efficiency. Additionally, MMCAR started using our various transaction services, including the trusted 268V brand for inspecting and certifying used cars. This made car transactions more transparent and built trust with their customers.</w:t>
      </w:r>
    </w:p>
    <w:p>
      <w:pPr>
        <w:spacing w:after="0" w:line="90" w:lineRule="exact"/>
        <w:rPr>
          <w:sz w:val="20"/>
          <w:szCs w:val="20"/>
          <w:color w:val="auto"/>
        </w:rPr>
      </w:pPr>
    </w:p>
    <w:p>
      <w:pPr>
        <w:jc w:val="both"/>
        <w:ind w:left="1480" w:right="1458" w:firstLine="249"/>
        <w:spacing w:after="0" w:line="239" w:lineRule="auto"/>
        <w:rPr>
          <w:sz w:val="20"/>
          <w:szCs w:val="20"/>
          <w:color w:val="auto"/>
        </w:rPr>
      </w:pPr>
      <w:r>
        <w:rPr>
          <w:rFonts w:ascii="Arial" w:cs="Arial" w:eastAsia="Arial" w:hAnsi="Arial"/>
          <w:sz w:val="14"/>
          <w:szCs w:val="14"/>
          <w:i w:val="1"/>
          <w:iCs w:val="1"/>
          <w:color w:val="auto"/>
        </w:rPr>
        <w:t>Supported by our digital solutions and transaction services, the hardworking owners turned MMCAR from a small dealership to a major player in Foshan, Guangdong. They now boast the biggest used car showroom and the largest inventory in Foshan, Guangdong. Since they started using our services, MMCAR’s average number of cars in inventory grew from 15 to 148, monthly sales from 10 cars to an impressive 119, and average price per car from RMB120,000 to RMB540,000.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started working with OEMs and authorized dealerships by providing them with used car related digitalization solutions and B2B transaction facilitation services. Thanks to the sweeping trend towards the DTC approach, our business relationships with OEMs expanded into new car-related digitalization solutions and services. For details of our new car-related services, see “— What We Offer — Our New Car Services.”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199" w:name="page200"/>
    <w:bookmarkEnd w:id="19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What We Offer</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enable and empower auto merchants via two types of offerings: digitalization solutions and transaction services, through which we digitalize, integrate and optimize nearly all aspects of auto merchants’ operations.</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For digitalization solutions, we charge annual subscription fees for SaaS products offered to used car dealers and new car brokers and service fees for project-based software products offered to OEMs. For transaction services, we charge service fees on a per-transaction basis, the amount of which could be a fixed price or a percentage of the transaction amount, depending on the nature of the transaction services we provide.</w:t>
      </w:r>
    </w:p>
    <w:p>
      <w:pPr>
        <w:spacing w:after="0" w:line="12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Our Used Car Services</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used car services can be divided into two categories: (i) digitalization solutions; and (ii) transaction services, as illustrated by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38100</wp:posOffset>
            </wp:positionV>
            <wp:extent cx="3946525" cy="1686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946525" cy="168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employ a “freemium” model for the digitalization solutions where used car dealers pay an annual subscription fee for advanced functions while most of the other modules are offered for free. We charge a variable fee for our transaction services depending on the type of transaction and the level of our involvement required in providing the services.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Digitalization Solutions</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digitalize  and  streamline  crucial  aspects  of  used  car  dealers’  operations,  including</w:t>
      </w:r>
    </w:p>
    <w:p>
      <w:pPr>
        <w:spacing w:after="0" w:line="13" w:lineRule="exact"/>
        <w:rPr>
          <w:sz w:val="20"/>
          <w:szCs w:val="20"/>
          <w:color w:val="auto"/>
        </w:rPr>
      </w:pPr>
    </w:p>
    <w:p>
      <w:pPr>
        <w:jc w:val="both"/>
        <w:ind w:left="1420" w:right="1398" w:hanging="5"/>
        <w:spacing w:after="0" w:line="281" w:lineRule="auto"/>
        <w:tabs>
          <w:tab w:leader="none" w:pos="1589"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inventory sourcing, (ii) inventory management, (iii) marketing, (iv) sales, and (v) business analysis and internal administration. Substantially all of these solutions can be accessed through </w:t>
      </w:r>
      <w:r>
        <w:rPr>
          <w:rFonts w:ascii="Arial" w:cs="Arial" w:eastAsia="Arial" w:hAnsi="Arial"/>
          <w:sz w:val="13"/>
          <w:szCs w:val="13"/>
          <w:i w:val="1"/>
          <w:iCs w:val="1"/>
          <w:color w:val="auto"/>
        </w:rPr>
        <w:t>DaFengChe</w:t>
      </w:r>
      <w:r>
        <w:rPr>
          <w:rFonts w:ascii="Arial" w:cs="Arial" w:eastAsia="Arial" w:hAnsi="Arial"/>
          <w:sz w:val="13"/>
          <w:szCs w:val="13"/>
          <w:color w:val="auto"/>
        </w:rPr>
        <w:t>.</w:t>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Inventory Sourcing</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provide tools that empower used car dealers to effectively source cars from individual car owners. Our system helps dealers gather leads generated from various sources, such as the dealers’ online stores and third-party social media platforms. It also allows dealers to collect important information about these car owners and easily keep track of the leads. As dealers interact with these leads, we assist in categorizing them based on their stage in the inventory sourcing process by identifying leads as “Initial Contact,” “Negotiating,” “On Hold,” or “Closed Deal,” making it simpler for dealers to prioritize and manage their interactions.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0" w:name="page201"/>
    <w:bookmarkEnd w:id="20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We offer used car dealers a suite of data-driven business intelligence tools to help them make informed sourcing decisions. For example, we use our own unique data capabilities to provide dealers with estimated price ranges for vehicles. We analyze various aspects of vehicles, such as quality, mileage, location, and the prices of previously sold cars in local markets, to identify suitable vehicles for dealers to acquire for their inventory. The following screenshot illustrates the inventory sourcing module of </w:t>
      </w:r>
      <w:r>
        <w:rPr>
          <w:rFonts w:ascii="Arial" w:cs="Arial" w:eastAsia="Arial" w:hAnsi="Arial"/>
          <w:sz w:val="14"/>
          <w:szCs w:val="14"/>
          <w:i w:val="1"/>
          <w:iCs w:val="1"/>
          <w:color w:val="auto"/>
        </w:rPr>
        <w:t>DaFengChe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59690</wp:posOffset>
            </wp:positionV>
            <wp:extent cx="3946525" cy="1752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946525"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offers used car dealers access to our B2B transaction services as well as a range of</w:t>
      </w:r>
      <w:r>
        <w:rPr>
          <w:rFonts w:ascii="Arial" w:cs="Arial" w:eastAsia="Arial" w:hAnsi="Arial"/>
          <w:sz w:val="14"/>
          <w:szCs w:val="14"/>
          <w:i w:val="1"/>
          <w:iCs w:val="1"/>
          <w:color w:val="auto"/>
        </w:rPr>
        <w:t xml:space="preserve"> </w:t>
      </w:r>
      <w:r>
        <w:rPr>
          <w:rFonts w:ascii="Arial" w:cs="Arial" w:eastAsia="Arial" w:hAnsi="Arial"/>
          <w:sz w:val="14"/>
          <w:szCs w:val="14"/>
          <w:color w:val="auto"/>
        </w:rPr>
        <w:t>other transaction services, such as inspection and certification services, and delivery services. For detailed descriptions of these services, see “— What We Offer — Our Used Car Services — Transaction Services.”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Inventory Management</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i w:val="1"/>
          <w:iCs w:val="1"/>
          <w:color w:val="auto"/>
        </w:rPr>
        <w:t>DaFengChe’</w:t>
      </w:r>
      <w:r>
        <w:rPr>
          <w:rFonts w:ascii="Arial" w:cs="Arial" w:eastAsia="Arial" w:hAnsi="Arial"/>
          <w:sz w:val="14"/>
          <w:szCs w:val="14"/>
          <w:color w:val="auto"/>
        </w:rPr>
        <w:t>s proprietary inventory management tools empower dealers to effectively manage</w:t>
      </w:r>
      <w:r>
        <w:rPr>
          <w:rFonts w:ascii="Arial" w:cs="Arial" w:eastAsia="Arial" w:hAnsi="Arial"/>
          <w:sz w:val="14"/>
          <w:szCs w:val="14"/>
          <w:i w:val="1"/>
          <w:iCs w:val="1"/>
          <w:color w:val="auto"/>
        </w:rPr>
        <w:t xml:space="preserve"> </w:t>
      </w:r>
      <w:r>
        <w:rPr>
          <w:rFonts w:ascii="Arial" w:cs="Arial" w:eastAsia="Arial" w:hAnsi="Arial"/>
          <w:sz w:val="14"/>
          <w:szCs w:val="14"/>
          <w:color w:val="auto"/>
        </w:rPr>
        <w:t>their inventories using industry best practices.</w:t>
      </w:r>
    </w:p>
    <w:p>
      <w:pPr>
        <w:spacing w:after="0" w:line="41"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Our inventory management system offers real-time monitoring of inventory status, giving dealers complete visibility over their inventory. Dealers can fill out standardized car information, including crucial details such as model, age, mileage, accident history, previous owner, license plate and VIN number to create detailed and highly structured digital profiles for each vehicle in their inventory. With OCR technologies, we also allow dealers to conveniently upload car information by simply scanning the license plate of each vehicle. Furthermore, our system allows dealers to keep track of the various stages of each car’s full lifecycle by indicating whether a car is being acquired, undergoing reconditioning, ready for sale, under negotiation or already sold. It also automatically sends alerts to dealers about slow-moving inventory. By identifying which cars are taking longer to sell, dealers can take proactive measures to improve sales, such as implementing marketing strategies or making price adjustments if necessary. This ensures that dealers can manage their workflow more efficiently, avoiding any oversights or delays during a vehicle’s journey within their dealerships.</w:t>
      </w:r>
    </w:p>
    <w:p>
      <w:pPr>
        <w:spacing w:after="0" w:line="5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inventory management tools set them apart from competing offerings by offering a more comprehensive range of business intelligence support. Through advanced data analytics, we keep dealers abreast of the latest market trends, such as estimated market price and level of demand for particular car makes, based on an analysis of the inventories of the dealer community. We assist dealers in identifying the optimal price range for vehicles based on their conditions and recent sales data, such as prices from the latest transactions, collected through our platform. With these insights, dealers can accurately gage market demands and optimize their inventory strategies.</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1" w:name="page202"/>
    <w:bookmarkEnd w:id="20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 xml:space="preserve">The screenshots below demonstrate how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empowers dealers with comprehensive visibility over their inventory, presented through charts and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50800</wp:posOffset>
            </wp:positionV>
            <wp:extent cx="3953510" cy="1785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53510" cy="178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During the inventory management stage, we provide used car inspection and certification services to dealers. Dealers can generate detailed inspection reports for their vehicles to inform their inventory management efforts. See “— What We Offer — Our Used Car Services — Transaction Services — Used Car Inspection and Certification.”</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Marketing</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offer data-driven marketing tools to help used car dealers establish online storefronts, engage in online advertising and nurture and convert sales leads.</w:t>
      </w:r>
    </w:p>
    <w:p>
      <w:pPr>
        <w:spacing w:after="0" w:line="5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We help used car dealers establish online shops that are seamlessly integrated with </w:t>
      </w:r>
      <w:r>
        <w:rPr>
          <w:rFonts w:ascii="Arial" w:cs="Arial" w:eastAsia="Arial" w:hAnsi="Arial"/>
          <w:sz w:val="14"/>
          <w:szCs w:val="14"/>
          <w:i w:val="1"/>
          <w:iCs w:val="1"/>
          <w:color w:val="auto"/>
        </w:rPr>
        <w:t>WeChat</w:t>
      </w:r>
      <w:r>
        <w:rPr>
          <w:rFonts w:ascii="Arial" w:cs="Arial" w:eastAsia="Arial" w:hAnsi="Arial"/>
          <w:sz w:val="14"/>
          <w:szCs w:val="14"/>
          <w:color w:val="auto"/>
        </w:rPr>
        <w:t xml:space="preserve"> as well as multiple other major social platforms in China, such as </w:t>
      </w:r>
      <w:r>
        <w:rPr>
          <w:rFonts w:ascii="Arial" w:cs="Arial" w:eastAsia="Arial" w:hAnsi="Arial"/>
          <w:sz w:val="14"/>
          <w:szCs w:val="14"/>
          <w:i w:val="1"/>
          <w:iCs w:val="1"/>
          <w:color w:val="auto"/>
        </w:rPr>
        <w:t>Douyin</w:t>
      </w:r>
      <w:r>
        <w:rPr>
          <w:rFonts w:ascii="Arial" w:cs="Arial" w:eastAsia="Arial" w:hAnsi="Arial"/>
          <w:sz w:val="14"/>
          <w:szCs w:val="14"/>
          <w:color w:val="auto"/>
        </w:rPr>
        <w:t xml:space="preserve">, </w:t>
      </w:r>
      <w:r>
        <w:rPr>
          <w:rFonts w:ascii="Arial" w:cs="Arial" w:eastAsia="Arial" w:hAnsi="Arial"/>
          <w:sz w:val="14"/>
          <w:szCs w:val="14"/>
          <w:i w:val="1"/>
          <w:iCs w:val="1"/>
          <w:color w:val="auto"/>
        </w:rPr>
        <w:t>Kuaishou, Autohome</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Xianyu </w:t>
      </w:r>
      <w:r>
        <w:rPr>
          <w:rFonts w:ascii="Arial" w:cs="Arial" w:eastAsia="Arial" w:hAnsi="Arial"/>
          <w:sz w:val="14"/>
          <w:szCs w:val="14"/>
          <w:color w:val="auto"/>
        </w:rPr>
        <w:t>(China’s largest online marketplace for used items). Through these online stores, dealers can</w:t>
      </w:r>
      <w:r>
        <w:rPr>
          <w:rFonts w:ascii="Arial" w:cs="Arial" w:eastAsia="Arial" w:hAnsi="Arial"/>
          <w:sz w:val="14"/>
          <w:szCs w:val="14"/>
          <w:i w:val="1"/>
          <w:iCs w:val="1"/>
          <w:color w:val="auto"/>
        </w:rPr>
        <w:t xml:space="preserve"> </w:t>
      </w:r>
      <w:r>
        <w:rPr>
          <w:rFonts w:ascii="Arial" w:cs="Arial" w:eastAsia="Arial" w:hAnsi="Arial"/>
          <w:sz w:val="14"/>
          <w:szCs w:val="14"/>
          <w:color w:val="auto"/>
        </w:rPr>
        <w:t>showcase and promote their inventory and directly interact with potential customers. We provide dealers with a wide range of tools and customizable templates to design their own unique storefronts. We offer dealers a range of ready-to-use promotion tools, such as virtual coupons or posters that can be easily shared by the dealers or their customers within their social circles through these platforms, channeling more traffic to the dealers’ online stores.</w:t>
      </w:r>
    </w:p>
    <w:p>
      <w:pPr>
        <w:spacing w:after="0" w:line="6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Through the integration between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these third-party platforms, we empower dealers to capture leads generated on these platforms and seamlessly direct them back to </w:t>
      </w:r>
      <w:r>
        <w:rPr>
          <w:rFonts w:ascii="Arial" w:cs="Arial" w:eastAsia="Arial" w:hAnsi="Arial"/>
          <w:sz w:val="14"/>
          <w:szCs w:val="14"/>
          <w:i w:val="1"/>
          <w:iCs w:val="1"/>
          <w:color w:val="auto"/>
        </w:rPr>
        <w:t>DaFengChe</w:t>
      </w:r>
      <w:r>
        <w:rPr>
          <w:rFonts w:ascii="Arial" w:cs="Arial" w:eastAsia="Arial" w:hAnsi="Arial"/>
          <w:sz w:val="14"/>
          <w:szCs w:val="14"/>
          <w:color w:val="auto"/>
        </w:rPr>
        <w:t>. Specifically, we help dealers identify and gather sales leads through analysis of</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 engagements on various third-party platforms and instant messaging applications and evaluate the likelihood of lead conversion into actual sales. This feature allows dealers to make informed decisions when assigning sales representatives, ensuring that the most suitable and skilled individuals follow up on the leads. Moreover, we provide comprehensive tools that dealers can use to aggregate, track and analyze these leads, offering them insights essential for optimizing their marketing strategies.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2" w:name="page203"/>
    <w:bookmarkEnd w:id="20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The following screenshots illustrate how our marketing tools help used car dealers establish online stores, easily promote their inventory with a wider audience on </w:t>
      </w:r>
      <w:r>
        <w:rPr>
          <w:rFonts w:ascii="Arial" w:cs="Arial" w:eastAsia="Arial" w:hAnsi="Arial"/>
          <w:sz w:val="14"/>
          <w:szCs w:val="14"/>
          <w:i w:val="1"/>
          <w:iCs w:val="1"/>
          <w:color w:val="auto"/>
        </w:rPr>
        <w:t>WeChat</w:t>
      </w:r>
      <w:r>
        <w:rPr>
          <w:rFonts w:ascii="Arial" w:cs="Arial" w:eastAsia="Arial" w:hAnsi="Arial"/>
          <w:sz w:val="14"/>
          <w:szCs w:val="14"/>
          <w:color w:val="auto"/>
        </w:rPr>
        <w:t xml:space="preserve">, and aggregate, track and analyze sales leads generated from </w:t>
      </w:r>
      <w:r>
        <w:rPr>
          <w:rFonts w:ascii="Arial" w:cs="Arial" w:eastAsia="Arial" w:hAnsi="Arial"/>
          <w:sz w:val="14"/>
          <w:szCs w:val="14"/>
          <w:i w:val="1"/>
          <w:iCs w:val="1"/>
          <w:color w:val="auto"/>
        </w:rPr>
        <w:t>Douyin</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60325</wp:posOffset>
            </wp:positionV>
            <wp:extent cx="3946525" cy="1824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94652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addition to helping dealers establish a digital presence, our marketing tools allow dealers to track the origin of each lead, the associated marketing efforts and the stage of the customer’s journey. Dealers can keep a record of all their communications with potential customers, ensuring that their sales representatives have access to past interactions and can maintain a seamless conversation with customers. Furthermore, our tools enable dealers to analyze the performance of their marketing efforts by measuring specific KPIs, such as lead conversion rates from different marketing channels. This valuable data helps dealers identify successful marketing strategies and determine which channels are most effective in generating leads so that they can allocate marketing budgets more effectively.</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Sales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provides comprehensive sales-related tools to facilitate dealers’ sales of used cars to</w:t>
      </w:r>
      <w:r>
        <w:rPr>
          <w:rFonts w:ascii="Arial" w:cs="Arial" w:eastAsia="Arial" w:hAnsi="Arial"/>
          <w:sz w:val="14"/>
          <w:szCs w:val="14"/>
          <w:i w:val="1"/>
          <w:iCs w:val="1"/>
          <w:color w:val="auto"/>
        </w:rPr>
        <w:t xml:space="preserve"> </w:t>
      </w:r>
      <w:r>
        <w:rPr>
          <w:rFonts w:ascii="Arial" w:cs="Arial" w:eastAsia="Arial" w:hAnsi="Arial"/>
          <w:sz w:val="14"/>
          <w:szCs w:val="14"/>
          <w:color w:val="auto"/>
        </w:rPr>
        <w:t>both end-consumers (i.e., “To-C” sales) and other used car dealers (i.e., “To-B” sales).</w:t>
      </w:r>
    </w:p>
    <w:p>
      <w:pPr>
        <w:spacing w:after="0" w:line="5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helps dealers manage the entire customer journey, starting from leads acquisition,</w:t>
      </w:r>
      <w:r>
        <w:rPr>
          <w:rFonts w:ascii="Arial" w:cs="Arial" w:eastAsia="Arial" w:hAnsi="Arial"/>
          <w:sz w:val="14"/>
          <w:szCs w:val="14"/>
          <w:i w:val="1"/>
          <w:iCs w:val="1"/>
          <w:color w:val="auto"/>
        </w:rPr>
        <w:t xml:space="preserve"> </w:t>
      </w:r>
      <w:r>
        <w:rPr>
          <w:rFonts w:ascii="Arial" w:cs="Arial" w:eastAsia="Arial" w:hAnsi="Arial"/>
          <w:sz w:val="14"/>
          <w:szCs w:val="14"/>
          <w:color w:val="auto"/>
        </w:rPr>
        <w:t>initial interaction, in-store visits, ultimately leading to the final purchase and even after-sales support and services.</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 xml:space="preserve">Based on customer preference information gathered from the marketing module,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pulls up the most suitable cars from the dealer’s inventory. If the dealer’s current inventory does not match the customer’s preferences,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proactively suggests available cars from nearby used car dealers. This feature allows the first dealer to source the desired cars from other dealers, maximizing the chance of making a sale.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3" w:name="page204"/>
    <w:bookmarkEnd w:id="20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 xml:space="preserve">The following screenshot illustrates how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allows dealers to engage with potential customers throughout different milestones during their lifecycle: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50800</wp:posOffset>
            </wp:positionV>
            <wp:extent cx="3946525" cy="1811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46525" cy="181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allows dealers to sell cars to other dealers by posting information about their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inventory on various B2B transaction platforms, including our B2B auction platform </w:t>
      </w:r>
      <w:r>
        <w:rPr>
          <w:rFonts w:ascii="Arial" w:cs="Arial" w:eastAsia="Arial" w:hAnsi="Arial"/>
          <w:sz w:val="14"/>
          <w:szCs w:val="14"/>
          <w:i w:val="1"/>
          <w:iCs w:val="1"/>
          <w:color w:val="auto"/>
        </w:rPr>
        <w:t>CheYiPai</w:t>
      </w:r>
      <w:r>
        <w:rPr>
          <w:rFonts w:ascii="Arial" w:cs="Arial" w:eastAsia="Arial" w:hAnsi="Arial"/>
          <w:sz w:val="14"/>
          <w:szCs w:val="14"/>
          <w:color w:val="auto"/>
        </w:rPr>
        <w:t>.</w:t>
      </w:r>
    </w:p>
    <w:p>
      <w:pPr>
        <w:spacing w:after="0" w:line="62"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i w:val="1"/>
          <w:iCs w:val="1"/>
          <w:color w:val="auto"/>
        </w:rPr>
        <w:t xml:space="preserve">DaFengChe’s </w:t>
      </w:r>
      <w:r>
        <w:rPr>
          <w:rFonts w:ascii="Arial" w:cs="Arial" w:eastAsia="Arial" w:hAnsi="Arial"/>
          <w:sz w:val="14"/>
          <w:szCs w:val="14"/>
          <w:color w:val="auto"/>
        </w:rPr>
        <w:t>sales module also allows dealers to conveniently access a range of essential</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 services to ensure a seamless buying process, such as used car inspection and certification services, financial product referral services, and delivery services. For details, see “— What We Offer — Our Used Car Services — Transaction Services.”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Business Analysis and Internal Administration</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i w:val="1"/>
          <w:iCs w:val="1"/>
          <w:color w:val="auto"/>
        </w:rPr>
        <w:t xml:space="preserve">DaFengChe </w:t>
      </w:r>
      <w:r>
        <w:rPr>
          <w:rFonts w:ascii="Arial" w:cs="Arial" w:eastAsia="Arial" w:hAnsi="Arial"/>
          <w:sz w:val="14"/>
          <w:szCs w:val="14"/>
          <w:color w:val="auto"/>
        </w:rPr>
        <w:t>also offers integrated back-office functions, which cover business data analysis, HR,</w:t>
      </w:r>
      <w:r>
        <w:rPr>
          <w:rFonts w:ascii="Arial" w:cs="Arial" w:eastAsia="Arial" w:hAnsi="Arial"/>
          <w:sz w:val="14"/>
          <w:szCs w:val="14"/>
          <w:i w:val="1"/>
          <w:iCs w:val="1"/>
          <w:color w:val="auto"/>
        </w:rPr>
        <w:t xml:space="preserve"> </w:t>
      </w:r>
      <w:r>
        <w:rPr>
          <w:rFonts w:ascii="Arial" w:cs="Arial" w:eastAsia="Arial" w:hAnsi="Arial"/>
          <w:sz w:val="14"/>
          <w:szCs w:val="14"/>
          <w:color w:val="auto"/>
        </w:rPr>
        <w:t>finance, legal and internal administration, bringing modern corporate management practices and tools to used car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60325</wp:posOffset>
            </wp:positionV>
            <wp:extent cx="3946525" cy="1824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94652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4" w:name="page205"/>
    <w:bookmarkEnd w:id="20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With these tools, a used car dealer can easily monitor sales and fund, track profit per car for all brands, know which social media platform deserves more marketing investment, and just overall manage his business with much more ease and efficiency.</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Services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offer a wide range of high-quality transaction services catered specifically to used car dealers, leveraging our broad dealer network and deep connections with used car dealers and their collaborators, as well as our in-depth industry expertise and insights into used car dealers’ operations. We charge a fee for our transaction fees depending on the type of transaction and the level of our involvement required in providing the services.</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transaction services we provide primarily serve three main aspects of a used car dealer’s operations: inventory sourcing, inventory management and sales, where they often need to collaborate with other dealers, as well as third-party service providers, such as inspectors, transporters and financial institutions who we refer to as “collaborators.”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B2B Transaction Facilitation</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Due to the highly scattered and unpredictable nature of used car disposal by individual car owners, used car dealers tend to take in inventory when they have a chance to buy used cars directly from consumers, and resell to other dealers the ones that do not match their product portfolio and branding. This has led to a constant flow of used car inventory from dealers to dealers, as well as between cities. The result is a very large and active dealer-to-dealer, or B2B, market for used car commerce.</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offer the following two types of B2B transaction facilitation services to help used car dealers more efficiently source supply from other dealers, or on the flip side of the same transaction, dispose of unwanted inventory to another dealer:</w:t>
      </w:r>
    </w:p>
    <w:p>
      <w:pPr>
        <w:spacing w:after="0" w:line="76" w:lineRule="exact"/>
        <w:rPr>
          <w:sz w:val="20"/>
          <w:szCs w:val="20"/>
          <w:color w:val="auto"/>
        </w:rPr>
      </w:pPr>
    </w:p>
    <w:p>
      <w:pPr>
        <w:ind w:left="1800" w:right="1398" w:hanging="136"/>
        <w:spacing w:after="0" w:line="271" w:lineRule="auto"/>
        <w:tabs>
          <w:tab w:leader="none" w:pos="1804" w:val="left"/>
        </w:tabs>
        <w:numPr>
          <w:ilvl w:val="0"/>
          <w:numId w:val="92"/>
        </w:numPr>
        <w:rPr>
          <w:rFonts w:ascii="Arial" w:cs="Arial" w:eastAsia="Arial" w:hAnsi="Arial"/>
          <w:sz w:val="11"/>
          <w:szCs w:val="11"/>
          <w:color w:val="auto"/>
        </w:rPr>
      </w:pPr>
      <w:r>
        <w:rPr>
          <w:rFonts w:ascii="Arial" w:cs="Arial" w:eastAsia="Arial" w:hAnsi="Arial"/>
          <w:sz w:val="14"/>
          <w:szCs w:val="14"/>
          <w:color w:val="auto"/>
        </w:rPr>
        <w:t xml:space="preserve">a “light-touch” platform through </w:t>
      </w:r>
      <w:r>
        <w:rPr>
          <w:rFonts w:ascii="Arial" w:cs="Arial" w:eastAsia="Arial" w:hAnsi="Arial"/>
          <w:sz w:val="14"/>
          <w:szCs w:val="14"/>
          <w:i w:val="1"/>
          <w:iCs w:val="1"/>
          <w:color w:val="auto"/>
        </w:rPr>
        <w:t>DaFengChe</w:t>
      </w:r>
      <w:r>
        <w:rPr>
          <w:rFonts w:ascii="Arial" w:cs="Arial" w:eastAsia="Arial" w:hAnsi="Arial"/>
          <w:sz w:val="14"/>
          <w:szCs w:val="14"/>
          <w:color w:val="auto"/>
        </w:rPr>
        <w:t>, where dealers can freely list their for-sale inventories by posting certain essential information about them.</w:t>
      </w:r>
    </w:p>
    <w:p>
      <w:pPr>
        <w:spacing w:after="0" w:line="51" w:lineRule="exact"/>
        <w:rPr>
          <w:rFonts w:ascii="Arial" w:cs="Arial" w:eastAsia="Arial" w:hAnsi="Arial"/>
          <w:sz w:val="11"/>
          <w:szCs w:val="11"/>
          <w:color w:val="auto"/>
        </w:rPr>
      </w:pPr>
    </w:p>
    <w:p>
      <w:pPr>
        <w:jc w:val="both"/>
        <w:ind w:left="1800" w:right="1398"/>
        <w:spacing w:after="0" w:line="245" w:lineRule="auto"/>
        <w:rPr>
          <w:rFonts w:ascii="Arial" w:cs="Arial" w:eastAsia="Arial" w:hAnsi="Arial"/>
          <w:sz w:val="11"/>
          <w:szCs w:val="11"/>
          <w:color w:val="auto"/>
        </w:rPr>
      </w:pPr>
      <w:r>
        <w:rPr>
          <w:rFonts w:ascii="Arial" w:cs="Arial" w:eastAsia="Arial" w:hAnsi="Arial"/>
          <w:sz w:val="14"/>
          <w:szCs w:val="14"/>
          <w:color w:val="auto"/>
        </w:rPr>
        <w:t>To ensure the inventory’s truthfulness and availability, we cross-check vehicle listing information against our database and employ AI-enabled tracking and analysis to amend or remove inaccurate listings. We encourage but do not require dealers to provide inspection reports for used cars listed on this “light-touch” platform.</w:t>
      </w:r>
    </w:p>
    <w:p>
      <w:pPr>
        <w:spacing w:after="0" w:line="79" w:lineRule="exact"/>
        <w:rPr>
          <w:rFonts w:ascii="Arial" w:cs="Arial" w:eastAsia="Arial" w:hAnsi="Arial"/>
          <w:sz w:val="11"/>
          <w:szCs w:val="11"/>
          <w:color w:val="auto"/>
        </w:rPr>
      </w:pPr>
    </w:p>
    <w:p>
      <w:pPr>
        <w:jc w:val="both"/>
        <w:ind w:left="1800" w:right="1398"/>
        <w:spacing w:after="0" w:line="245" w:lineRule="auto"/>
        <w:rPr>
          <w:rFonts w:ascii="Arial" w:cs="Arial" w:eastAsia="Arial" w:hAnsi="Arial"/>
          <w:sz w:val="11"/>
          <w:szCs w:val="11"/>
          <w:color w:val="auto"/>
        </w:rPr>
      </w:pPr>
      <w:r>
        <w:rPr>
          <w:rFonts w:ascii="Arial" w:cs="Arial" w:eastAsia="Arial" w:hAnsi="Arial"/>
          <w:sz w:val="14"/>
          <w:szCs w:val="14"/>
          <w:color w:val="auto"/>
        </w:rPr>
        <w:t>Thanks to the flexibility of this platform, dealers may even secure resales for cars they are trying to but have not yet purchased from an individual car owner, making the C2B2B transaction chain more streamlined and more efficient, and helping more used car dealers tackle their inherent challenge of supply-demand mismatch.</w:t>
      </w:r>
    </w:p>
    <w:p>
      <w:pPr>
        <w:spacing w:after="0" w:line="79"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92"/>
        </w:numPr>
        <w:rPr>
          <w:rFonts w:ascii="Arial" w:cs="Arial" w:eastAsia="Arial" w:hAnsi="Arial"/>
          <w:sz w:val="11"/>
          <w:szCs w:val="11"/>
          <w:color w:val="auto"/>
        </w:rPr>
      </w:pPr>
      <w:r>
        <w:rPr>
          <w:rFonts w:ascii="Arial" w:cs="Arial" w:eastAsia="Arial" w:hAnsi="Arial"/>
          <w:sz w:val="14"/>
          <w:szCs w:val="14"/>
          <w:color w:val="auto"/>
        </w:rPr>
        <w:t xml:space="preserve">A “heavy-touch” online auction platform named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that is integrated into </w:t>
      </w:r>
      <w:r>
        <w:rPr>
          <w:rFonts w:ascii="Arial" w:cs="Arial" w:eastAsia="Arial" w:hAnsi="Arial"/>
          <w:sz w:val="14"/>
          <w:szCs w:val="14"/>
          <w:i w:val="1"/>
          <w:iCs w:val="1"/>
          <w:color w:val="auto"/>
        </w:rPr>
        <w:t>DaFengChe</w:t>
      </w:r>
      <w:r>
        <w:rPr>
          <w:rFonts w:ascii="Arial" w:cs="Arial" w:eastAsia="Arial" w:hAnsi="Arial"/>
          <w:sz w:val="14"/>
          <w:szCs w:val="14"/>
          <w:color w:val="auto"/>
        </w:rPr>
        <w:t>, where dealers buy used cars from other dealers through a highly managed process that assures availability, quality and timeliness.</w:t>
      </w:r>
    </w:p>
    <w:p>
      <w:pPr>
        <w:spacing w:after="0" w:line="65" w:lineRule="exact"/>
        <w:rPr>
          <w:rFonts w:ascii="Arial" w:cs="Arial" w:eastAsia="Arial" w:hAnsi="Arial"/>
          <w:sz w:val="11"/>
          <w:szCs w:val="11"/>
          <w:color w:val="auto"/>
        </w:rPr>
      </w:pPr>
    </w:p>
    <w:p>
      <w:pPr>
        <w:jc w:val="both"/>
        <w:ind w:left="1800" w:right="1398"/>
        <w:spacing w:after="0" w:line="245" w:lineRule="auto"/>
        <w:rPr>
          <w:rFonts w:ascii="Arial" w:cs="Arial" w:eastAsia="Arial" w:hAnsi="Arial"/>
          <w:sz w:val="11"/>
          <w:szCs w:val="11"/>
          <w:color w:val="auto"/>
        </w:rPr>
      </w:pPr>
      <w:r>
        <w:rPr>
          <w:rFonts w:ascii="Arial" w:cs="Arial" w:eastAsia="Arial" w:hAnsi="Arial"/>
          <w:sz w:val="14"/>
          <w:szCs w:val="14"/>
          <w:color w:val="auto"/>
        </w:rPr>
        <w:t xml:space="preserve">To ensure transaction certainty, dealers using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must pay a deposit which would be used against default penalty.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requires all auctioned used cars come with qualified inspection reports, and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provides warranty to buyers for undetected material defects. Auction payments are made through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to ensure payment security.</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5" w:name="page206"/>
    <w:bookmarkEnd w:id="20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We have unique competitive advantages in B2B transaction facilitation, thanks to the prevalence of our digitalization solutions among China’s used car dealers.</w:t>
      </w:r>
    </w:p>
    <w:p>
      <w:pPr>
        <w:spacing w:after="0" w:line="51" w:lineRule="exact"/>
        <w:rPr>
          <w:sz w:val="20"/>
          <w:szCs w:val="20"/>
          <w:color w:val="auto"/>
        </w:rPr>
      </w:pPr>
    </w:p>
    <w:p>
      <w:pPr>
        <w:jc w:val="both"/>
        <w:ind w:left="1800" w:right="1398" w:hanging="136"/>
        <w:spacing w:after="0" w:line="241" w:lineRule="auto"/>
        <w:tabs>
          <w:tab w:leader="none" w:pos="1795"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Participants</w:t>
      </w:r>
      <w:r>
        <w:rPr>
          <w:rFonts w:ascii="Arial" w:cs="Arial" w:eastAsia="Arial" w:hAnsi="Arial"/>
          <w:sz w:val="14"/>
          <w:szCs w:val="14"/>
          <w:color w:val="auto"/>
        </w:rPr>
        <w:t>: Our digitalization solutions connect us with the largest and most active used car dealer base, as well as a significant number of established authorized dealer groups. Our user base collectively accounts for 50% of the country’s total used car inventory sources, according to CIC. As a result, our B2B transaction facilitation platforms naturally enjoy a wealth of active participants who are always looking to buy or sell as part of their daily business.</w:t>
      </w:r>
    </w:p>
    <w:p>
      <w:pPr>
        <w:spacing w:after="0" w:line="63" w:lineRule="exact"/>
        <w:rPr>
          <w:rFonts w:ascii="Arial" w:cs="Arial" w:eastAsia="Arial" w:hAnsi="Arial"/>
          <w:sz w:val="14"/>
          <w:szCs w:val="14"/>
          <w:color w:val="auto"/>
        </w:rPr>
      </w:pPr>
    </w:p>
    <w:p>
      <w:pPr>
        <w:jc w:val="both"/>
        <w:ind w:left="1800" w:right="1398" w:hanging="136"/>
        <w:spacing w:after="0" w:line="238" w:lineRule="auto"/>
        <w:tabs>
          <w:tab w:leader="none" w:pos="1854"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Data Insight</w:t>
      </w:r>
      <w:r>
        <w:rPr>
          <w:rFonts w:ascii="Arial" w:cs="Arial" w:eastAsia="Arial" w:hAnsi="Arial"/>
          <w:sz w:val="14"/>
          <w:szCs w:val="14"/>
          <w:color w:val="auto"/>
        </w:rPr>
        <w:t>: Our digitalization solutions enable us to provide unparalleled data-driven matching between a buying dealer and a selling dealer. We have a semi “God’s eye view” on China’s used car commerce, owing to our extensive digitalization of and participation in used car dealers’ business activities. As a result, we are able to analyze over 300 data points on an individual dealer and over 70 data points on an individual used car. Our matching algorithm takes in all those data, which are always being updated as the dealers and used cars change, and produces high quality matching between the selling and buying sides.</w:t>
      </w:r>
    </w:p>
    <w:p>
      <w:pPr>
        <w:spacing w:after="0" w:line="8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Our auction platform is another good example of us turning data insights into higher transaction efficiency — we operate a unique flexi-bid auction model where the used cars coming up for auction would only be pushed to the dealers whose sales profiles indicate a general need for that particular car. Dealers can bid on the car on our platform at their convenience, as opposed to a fixed date and time under the conventional auction model. Our matching algorithms work constantly in the backend to achieve the optimal matching result, i.e., matching the dealer in urgent need for that car with the dealer who is eager to sell it and achieve a satisfactory price for both of them, without taking up too much of either dealer’s precious time or energy. We would not have been able to achieve this without in-depth profiling of both the dealers and the vehicles with our massive amounts of highly granular data.</w:t>
      </w:r>
    </w:p>
    <w:p>
      <w:pPr>
        <w:spacing w:after="0" w:line="7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i w:val="1"/>
          <w:iCs w:val="1"/>
          <w:color w:val="auto"/>
        </w:rPr>
        <w:t xml:space="preserve">CheYiPai </w:t>
      </w:r>
      <w:r>
        <w:rPr>
          <w:rFonts w:ascii="Arial" w:cs="Arial" w:eastAsia="Arial" w:hAnsi="Arial"/>
          <w:sz w:val="14"/>
          <w:szCs w:val="14"/>
          <w:color w:val="auto"/>
        </w:rPr>
        <w:t>is the second largest B2B online used car auction platform in China in terms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transaction volume in 2025, according to CIC. </w:t>
      </w:r>
      <w:r>
        <w:rPr>
          <w:rFonts w:ascii="Arial" w:cs="Arial" w:eastAsia="Arial" w:hAnsi="Arial"/>
          <w:sz w:val="14"/>
          <w:szCs w:val="14"/>
          <w:i w:val="1"/>
          <w:iCs w:val="1"/>
          <w:color w:val="auto"/>
        </w:rPr>
        <w:t>CheYiPai</w:t>
      </w:r>
      <w:r>
        <w:rPr>
          <w:rFonts w:ascii="Arial" w:cs="Arial" w:eastAsia="Arial" w:hAnsi="Arial"/>
          <w:sz w:val="14"/>
          <w:szCs w:val="14"/>
          <w:color w:val="auto"/>
        </w:rPr>
        <w:t>’s sales volume was 148,302, 105,091 and 109,622 units in 2023, 2024 and 2025.</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 xml:space="preserve">We charge each buyer a commission at a pre-negotiated rate, representing a certain percentage of the total sales price, on each B2B transaction completed through </w:t>
      </w:r>
      <w:r>
        <w:rPr>
          <w:rFonts w:ascii="Arial" w:cs="Arial" w:eastAsia="Arial" w:hAnsi="Arial"/>
          <w:sz w:val="14"/>
          <w:szCs w:val="14"/>
          <w:i w:val="1"/>
          <w:iCs w:val="1"/>
          <w:color w:val="auto"/>
        </w:rPr>
        <w:t>CheYiPai</w:t>
      </w:r>
      <w:r>
        <w:rPr>
          <w:rFonts w:ascii="Arial" w:cs="Arial" w:eastAsia="Arial" w:hAnsi="Arial"/>
          <w:sz w:val="14"/>
          <w:szCs w:val="14"/>
          <w:color w:val="auto"/>
        </w:rPr>
        <w:t>.</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Used Car Inspection and Certification</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provide industry-leading used car inspection and certification services under the commercial brand 268V. Our used car inspection scrutinizes over 480 check points, including exterior damages, mechanical issues, structural issues, engine and power systems through on-site inspection feedback and database cross-check.</w:t>
      </w:r>
    </w:p>
    <w:p>
      <w:pPr>
        <w:spacing w:after="0" w:line="6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Unlike nearly all competing services in the market which only rely on on-site inspection results, we employ a two-step approach to ensure integrity and accuracy. First, our well-trained inspectors perform a thorough physical examination of the vehicle, using special tools provided by us and following specific steps detailed in our inspection manual, and upload all required image and text results to our system. Then, all vehicle information is cross-checked against our vast database to ensure that no historic damage or defect pass our used car inspection undetected.</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2025, we achieved an average error rate of 0.2‰, significantly lower than the industry average error rate of 0.8‰, according to CIC. The high quality of our used car inspection enables us to certify against major accident, fire damage, and water damage for vehicles we inspected with a 90-day buy back warranty offered to consumers.</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have over 19 years of experience in used car inspection as an ancillary service in our used car B2B auction platform business, but we have only started offering it as a commercial product in June 2021, since which time it has grown very rapidly into a service offering encompassing a network of 508 inspection stations in 248 cities, and 4,169 inspectors, including 219 employee inspectors and 3,950 contracted inspectors, as of December 31, 2025.</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6" w:name="page207"/>
    <w:bookmarkEnd w:id="20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 xml:space="preserve">Our reliable and well-trusted used car inspection and certification services help car sellers and dealers discover the best prices and provide valuable endorsement for used dealers seeking to sell their inventories. Our inspection reports are generated in digital form. It is integrated into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and automatically shows up in the used car’s online profile in the dealer’s operating system. Dealers can easily share the used car’s profile with the inspection report embedded as part of the profile. Dealers can also print the inspection report in an attractive certificate form and display it on the vehicle in the showroom.</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an industry pioneer we have participated in formulating China’s industry standards for used car inspection and certification. Our award-winning 268V used car inspection standards have been recognized by the China Automobile Dealers Association (CADA), one of the largest and most influential automobile dealer associations in China. In addition, we are a leader in China’s used car market with inspection capabilities on used EVs. The total volume of used car inspections that we performed amounted to 848,720, 699,848 and 733,446 in 2023, 2024 and 2025, respectively.</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Used car inspection solves the critical problem of trust for consumers. We expect that the used car inspection volume will continue to grow significantly in China, where used car supply is steadily on the rise and it is tilting towards a buyers’ market with more consumer bargaining power. As an established platform, we are well positioned to further penetrate the used car dealer community to expand our used car inspection services.</w:t>
      </w:r>
    </w:p>
    <w:p>
      <w:pPr>
        <w:spacing w:after="0" w:line="7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charge a variable fee for each used car inspection, depending on the complexity and thoroughness of the used car inspections performed.</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Financial Product Referral</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Capitalizing on our large and active used car dealer community, we historically offered referral services to financial institutions eager to reach end car buyers via a more efficient channel. We connected financial institutions directly with used car dealers, who are the selling party and best positioned to recommend financial products to a car buyer.</w:t>
      </w:r>
    </w:p>
    <w:p>
      <w:pPr>
        <w:spacing w:after="0" w:line="5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After browsing, comparing and deliberating, the car buyer has at last decided to purchase a used car, and it is time to figure out the payment plan. Given the highly dispersed nature of used car transactions, financial institutions do not have easy means to reach an individual car buyer when the financing needs of the latter emerge, and individual car buyers lack direct channels to obtain suitable financial products at the time of purchasing cars. Used car dealers are almost the only conduit between the two parties.</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provided only used car dealer referral services to financial institutions without participating in any of their decisions or taking on any of their financial exposure. The financial products were entirely funded by financial institutions, who independently assess car buyers’ applications and all associated credit risks. We did not provide any guarantee regarding the car buyers’ repayments of the loans and did not take part in the financial institutions’ post-loan risk management.</w:t>
      </w:r>
    </w:p>
    <w:p>
      <w:pPr>
        <w:spacing w:after="0" w:line="63"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financial product referral services stand out with three distinct advantages of “direct connection,” “digitalized process” and “more data for risk control,” compared to nearly all other competing services in the market.</w:t>
      </w:r>
    </w:p>
    <w:p>
      <w:pPr>
        <w:spacing w:after="0" w:line="76" w:lineRule="exact"/>
        <w:rPr>
          <w:sz w:val="20"/>
          <w:szCs w:val="20"/>
          <w:color w:val="auto"/>
        </w:rPr>
      </w:pPr>
    </w:p>
    <w:p>
      <w:pPr>
        <w:jc w:val="both"/>
        <w:ind w:left="1800" w:right="1398" w:hanging="136"/>
        <w:spacing w:after="0" w:line="241" w:lineRule="auto"/>
        <w:tabs>
          <w:tab w:leader="none" w:pos="1804" w:val="left"/>
        </w:tabs>
        <w:numPr>
          <w:ilvl w:val="0"/>
          <w:numId w:val="94"/>
        </w:numPr>
        <w:rPr>
          <w:rFonts w:ascii="Arial" w:cs="Arial" w:eastAsia="Arial" w:hAnsi="Arial"/>
          <w:sz w:val="11"/>
          <w:szCs w:val="11"/>
          <w:color w:val="auto"/>
        </w:rPr>
      </w:pPr>
      <w:r>
        <w:rPr>
          <w:rFonts w:ascii="Arial" w:cs="Arial" w:eastAsia="Arial" w:hAnsi="Arial"/>
          <w:sz w:val="14"/>
          <w:szCs w:val="14"/>
          <w:i w:val="1"/>
          <w:iCs w:val="1"/>
          <w:color w:val="auto"/>
        </w:rPr>
        <w:t>Direct Connection</w:t>
      </w:r>
      <w:r>
        <w:rPr>
          <w:rFonts w:ascii="Arial" w:cs="Arial" w:eastAsia="Arial" w:hAnsi="Arial"/>
          <w:sz w:val="14"/>
          <w:szCs w:val="14"/>
          <w:color w:val="auto"/>
        </w:rPr>
        <w:t>. Financial institutions no longer need the three or four layers of</w:t>
      </w:r>
      <w:r>
        <w:rPr>
          <w:rFonts w:ascii="Arial" w:cs="Arial" w:eastAsia="Arial" w:hAnsi="Arial"/>
          <w:sz w:val="14"/>
          <w:szCs w:val="14"/>
          <w:i w:val="1"/>
          <w:iCs w:val="1"/>
          <w:color w:val="auto"/>
        </w:rPr>
        <w:t xml:space="preserve"> </w:t>
      </w:r>
      <w:r>
        <w:rPr>
          <w:rFonts w:ascii="Arial" w:cs="Arial" w:eastAsia="Arial" w:hAnsi="Arial"/>
          <w:sz w:val="14"/>
          <w:szCs w:val="14"/>
          <w:color w:val="auto"/>
        </w:rPr>
        <w:t>intermediaries on provincial, regional, municipal and even market levels, which used to cost them significantly in both commissions and management resources, to reach a large base of used car dealers. We provide direct connection via DaFengChe to the most established and active used car dealers in the entire country, at a lower cost.</w:t>
      </w:r>
    </w:p>
    <w:p>
      <w:pPr>
        <w:spacing w:after="0" w:line="73" w:lineRule="exact"/>
        <w:rPr>
          <w:rFonts w:ascii="Arial" w:cs="Arial" w:eastAsia="Arial" w:hAnsi="Arial"/>
          <w:sz w:val="11"/>
          <w:szCs w:val="11"/>
          <w:color w:val="auto"/>
        </w:rPr>
      </w:pPr>
    </w:p>
    <w:p>
      <w:pPr>
        <w:jc w:val="both"/>
        <w:ind w:left="1800" w:right="1398" w:hanging="136"/>
        <w:spacing w:after="0" w:line="264" w:lineRule="auto"/>
        <w:tabs>
          <w:tab w:leader="none" w:pos="1783" w:val="left"/>
        </w:tabs>
        <w:numPr>
          <w:ilvl w:val="0"/>
          <w:numId w:val="94"/>
        </w:numPr>
        <w:rPr>
          <w:rFonts w:ascii="Arial" w:cs="Arial" w:eastAsia="Arial" w:hAnsi="Arial"/>
          <w:sz w:val="10"/>
          <w:szCs w:val="10"/>
          <w:i w:val="1"/>
          <w:iCs w:val="1"/>
          <w:color w:val="auto"/>
        </w:rPr>
      </w:pPr>
      <w:r>
        <w:rPr>
          <w:rFonts w:ascii="Arial" w:cs="Arial" w:eastAsia="Arial" w:hAnsi="Arial"/>
          <w:sz w:val="13"/>
          <w:szCs w:val="13"/>
          <w:i w:val="1"/>
          <w:iCs w:val="1"/>
          <w:color w:val="auto"/>
        </w:rPr>
        <w:t>Digitalized Process</w:t>
      </w:r>
      <w:r>
        <w:rPr>
          <w:rFonts w:ascii="Arial" w:cs="Arial" w:eastAsia="Arial" w:hAnsi="Arial"/>
          <w:sz w:val="13"/>
          <w:szCs w:val="13"/>
          <w:color w:val="auto"/>
        </w:rPr>
        <w:t>. The initiation of a loan application takes place in the digital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environment we have created for used car dealers, making it easier for all parties involved. The used car dealers save the trouble of manually inputting a large amount of required information and juggling multiple systems and applications, the financial institutions receive information in a more streamlined fashion, and the car buyer enjoys an expedient process without much hassle.</w:t>
      </w:r>
    </w:p>
    <w:p>
      <w:pPr>
        <w:spacing w:after="0" w:line="10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7" w:name="page208"/>
    <w:bookmarkEnd w:id="20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1" w:lineRule="auto"/>
        <w:tabs>
          <w:tab w:leader="none" w:pos="1783" w:val="left"/>
        </w:tabs>
        <w:numPr>
          <w:ilvl w:val="0"/>
          <w:numId w:val="95"/>
        </w:numPr>
        <w:rPr>
          <w:rFonts w:ascii="Arial" w:cs="Arial" w:eastAsia="Arial" w:hAnsi="Arial"/>
          <w:sz w:val="11"/>
          <w:szCs w:val="11"/>
          <w:i w:val="1"/>
          <w:iCs w:val="1"/>
          <w:color w:val="auto"/>
        </w:rPr>
      </w:pPr>
      <w:r>
        <w:rPr>
          <w:rFonts w:ascii="Arial" w:cs="Arial" w:eastAsia="Arial" w:hAnsi="Arial"/>
          <w:sz w:val="14"/>
          <w:szCs w:val="14"/>
          <w:i w:val="1"/>
          <w:iCs w:val="1"/>
          <w:color w:val="auto"/>
        </w:rPr>
        <w:t>More Data for Risk Control</w:t>
      </w:r>
      <w:r>
        <w:rPr>
          <w:rFonts w:ascii="Arial" w:cs="Arial" w:eastAsia="Arial" w:hAnsi="Arial"/>
          <w:sz w:val="14"/>
          <w:szCs w:val="14"/>
          <w:color w:val="auto"/>
        </w:rPr>
        <w:t>. Thanks to our in-depth data on the used cars, the dealers,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used car transactions, we are able to provide financial institutions with granular information to assist them in individual loan approval decision when needed.</w:t>
      </w:r>
    </w:p>
    <w:p>
      <w:pPr>
        <w:spacing w:after="0" w:line="6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These advantages translate into higher efficiency, lower costs and lower risks for financial institutions. They could then share part of the savings with used car dealers and car buyers to make their financial products more competitive, which in turn increases their reliability on our services and strengthens our ecosystem.</w:t>
      </w:r>
    </w:p>
    <w:p>
      <w:pPr>
        <w:spacing w:after="0" w:line="5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started offering financial product referral services in 2021. In 2023 and 2024, the gross loan amounts through the referrals were RMB2,732.0 million and RMB3,934.0 million, respectively.</w:t>
      </w:r>
    </w:p>
    <w:p>
      <w:pPr>
        <w:spacing w:after="0" w:line="62"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received a commission from financial institutions based on the loan amounts achieved through the referrals.</w:t>
      </w:r>
    </w:p>
    <w:p>
      <w:pPr>
        <w:spacing w:after="0" w:line="51"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November 2024, we entered into agreements to sell all of our equity interests in the PRC entities operating the financial product referral services to Zhejiang Dasouche Boxin Auto Sales Co., Ltd., a wholly owned subsidiary of Souche Holdings Ltd. The Disposition reflects our decision to better allocate corporate resources to serve essential needs of used car dealers. The transaction was closed in December 2024.</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Delivery</w:t>
      </w:r>
    </w:p>
    <w:p>
      <w:pPr>
        <w:spacing w:after="0" w:line="11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provide delivery services to facilitate used car dealers’ inventory sourcing from dealers in other regions. In a vast and multi-tiered market like China, the general flow of used car supply tends to be from higher tier cities to lower tier cities, and from more developed Eastern regions to less developed Western regions. Approximately 28% of used car transactions are cross-provincial in 2025, according to CIC.</w:t>
      </w:r>
    </w:p>
    <w:p>
      <w:pPr>
        <w:spacing w:after="0" w:line="9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used car delivery services consist primarily of title transfer and transportation services. In China, transferring the title of a used car involves on-the-ground regulatory procedures, adding to the cost of non-local inventory sourcing. Transportation of used cars from other cities faces similar issues of physical handling of the car and related documents. As a platform with nationwide presence, we easily address such issues through our national network of employees and agents, providing used car dealers with a one-stop shop experience with higher assurance of quality and security compared to smaller vendors in a distant city.</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of December 31, 2025, our delivery service network consisted of 4,067 logistics companies with 42,190 car-shipping trucks, serving 2,649 counties in all provinces in mainland China. Except for 16 second-hand trucks we acquired for experimental initiatives, we do not own or operate any car-shipping trucks.</w:t>
      </w:r>
    </w:p>
    <w:p>
      <w:pPr>
        <w:spacing w:after="0" w:line="90"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Leveraging our vast and active used car dealer community and our strong B2B transaction facilitation services, we are quickly expanding the penetration rate of our delivery services. Additionally, as the combination of live streaming and trustworthy inspection reports is expected to increase the number of online purchases of used cars by consumers, we see additional opportunities for us in consumer-facing single car delivery on behalf of used car dealers.</w:t>
      </w:r>
    </w:p>
    <w:p>
      <w:pPr>
        <w:spacing w:after="0" w:line="9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charge service fees for our delivery services, the amount of which generally varies based on service complexity and transportation distance, among other factors.</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Our New Car Services</w:t>
      </w:r>
    </w:p>
    <w:p>
      <w:pPr>
        <w:spacing w:after="0" w:line="11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started offering digitalization solutions to new car merchants because they are the largest concentrated used car inventory source and they often also engage in used car sales. Leveraging our expertise, we naturally expanded into providing additional digitalization solutions and transaction services to them with respect to new cars, especially in customer engagement and delivery.</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8" w:name="page209"/>
    <w:bookmarkEnd w:id="20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1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 xml:space="preserve">The rise of EV in China created a shift in new car sales model from the traditional one centered on authorized dealers to the DTC sales model. The DTC sales model not only reduces OEMs’ distribution costs but also enables them to build long-term direct relationships with end consumers, which means invaluable feedback and future sales opportunities. OEMs’ role is transitioning from “auto manufacturers and </w:t>
      </w:r>
      <w:r>
        <w:rPr>
          <w:rFonts w:ascii="Arial" w:cs="Arial" w:eastAsia="Arial" w:hAnsi="Arial"/>
          <w:sz w:val="14"/>
          <w:szCs w:val="14"/>
          <w:i w:val="1"/>
          <w:iCs w:val="1"/>
          <w:color w:val="auto"/>
        </w:rPr>
        <w:t>wholesalers</w:t>
      </w:r>
      <w:r>
        <w:rPr>
          <w:rFonts w:ascii="Arial" w:cs="Arial" w:eastAsia="Arial" w:hAnsi="Arial"/>
          <w:sz w:val="14"/>
          <w:szCs w:val="14"/>
          <w:color w:val="auto"/>
        </w:rPr>
        <w:t xml:space="preserve">” to “auto manufacturers and </w:t>
      </w:r>
      <w:r>
        <w:rPr>
          <w:rFonts w:ascii="Arial" w:cs="Arial" w:eastAsia="Arial" w:hAnsi="Arial"/>
          <w:sz w:val="14"/>
          <w:szCs w:val="14"/>
          <w:i w:val="1"/>
          <w:iCs w:val="1"/>
          <w:color w:val="auto"/>
        </w:rPr>
        <w:t>retailers</w:t>
      </w:r>
      <w:r>
        <w:rPr>
          <w:rFonts w:ascii="Arial" w:cs="Arial" w:eastAsia="Arial" w:hAnsi="Arial"/>
          <w:sz w:val="14"/>
          <w:szCs w:val="14"/>
          <w:color w:val="auto"/>
        </w:rPr>
        <w:t>,” and as a result, they require a slew of new services that are consumer-facing, such as customer engagement solutions, marketing and delivery.</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offer (i) digitalization solutions, including customer engagement solutions for OEMs, and operating system and listing platform for new car brokers, and (ii) transaction services, including delivery services and marketing and other services, to new car merchants.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Digitalization Solutions</w:t>
      </w:r>
    </w:p>
    <w:p>
      <w:pPr>
        <w:spacing w:after="0" w:line="16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Customer Engagement Solutions — OEMs</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develop digital systems and applications to help OEMs manage the entire spectrum of their interactions with customers, from leads conversion, to order-driven manufacturing, delivery and after-sales services. All of them center on direct customer engagement, which is a new battle front for most OEMs.</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addition, we develop customer-facing mobile applications for OEMs, where they can continue to have direct and frequent engagement with customers and maintain an active user community. Customers can use these applications to purchase cars, customize vehicle configurations, and control access to their vehicles. These applications also offer a suite of other services, such as financing, repair and maintenance.</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generate revenue from digitalization solutions to OEMs primarily on a project basis, with additional long-term revenue from certain related services, such as application management and system maintenance.</w:t>
      </w:r>
    </w:p>
    <w:p>
      <w:pPr>
        <w:spacing w:after="0" w:line="6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screenshots illustrate an example of the customer-facing mobile application that we developed for an OEM: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50800</wp:posOffset>
            </wp:positionV>
            <wp:extent cx="3946525" cy="20027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946525"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09" w:name="page210"/>
    <w:bookmarkEnd w:id="20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of December 31, 2025, we counted 44 OEM brands as clients of our digitalization solutions, including prominent global and Chinese automotive leaders, such as BMW, GAC Motor, SAIC-GM-Wuling, Geely and Toyota. In 2023, 2024 and 2025, we executed 33, 29 and 23 contracts for the customer engagement solutions offered to OEMs, respectively. These contracts varied significantly in contract amounts, depending on several factors, including the contract’s duration, the complexities associated with delivering the customer engagement solutions, the scale of the contracting OEMs, and various other considerations. The amounts of most of these contracts ranged from RMB500,000 to RMB100 million.</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Information Platform and Operating System — New Car Dealers and Brokers</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We empower new car dealers and brokers with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 a combination of a powerful SaaS-based operating system and a new car listing platform.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has maintained a market share of over 90% among new car brokers in 2023, 2024 and 2025, according to CIC.</w:t>
      </w:r>
    </w:p>
    <w:p>
      <w:pPr>
        <w:spacing w:after="0" w:line="4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i w:val="1"/>
          <w:iCs w:val="1"/>
          <w:color w:val="auto"/>
        </w:rPr>
        <w:t xml:space="preserve">Chehang 168 </w:t>
      </w:r>
      <w:r>
        <w:rPr>
          <w:rFonts w:ascii="Arial" w:cs="Arial" w:eastAsia="Arial" w:hAnsi="Arial"/>
          <w:sz w:val="14"/>
          <w:szCs w:val="14"/>
          <w:color w:val="auto"/>
        </w:rPr>
        <w:t>offers digitalization solutions tailored specifically to new car brokers, whose primary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need is to secure the most suitable supply at the optimal price, and to seize every potential sales opportunity with consumers. Therefore,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boasts the most efficient price-discovering online platform in the market with real-time, wholesale prices for over 90% of China’s new car models for sale, according to CIC.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also offers powerful CRM tools to help new car dealers and brokers effectively convert leads into sales.</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Many SME new car dealers and brokers also engage in used car sales. As a result, we intend to eventually integrate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with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for a more comprehensive and efficient service platform for SME new car dealers and brokers.</w:t>
      </w:r>
    </w:p>
    <w:p>
      <w:pPr>
        <w:spacing w:after="0" w:line="4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We employ a “freemium” model for </w:t>
      </w:r>
      <w:r>
        <w:rPr>
          <w:rFonts w:ascii="Arial" w:cs="Arial" w:eastAsia="Arial" w:hAnsi="Arial"/>
          <w:sz w:val="14"/>
          <w:szCs w:val="14"/>
          <w:i w:val="1"/>
          <w:iCs w:val="1"/>
          <w:color w:val="auto"/>
        </w:rPr>
        <w:t>Chehang 168</w:t>
      </w:r>
      <w:r>
        <w:rPr>
          <w:rFonts w:ascii="Arial" w:cs="Arial" w:eastAsia="Arial" w:hAnsi="Arial"/>
          <w:sz w:val="14"/>
          <w:szCs w:val="14"/>
          <w:color w:val="auto"/>
        </w:rPr>
        <w:t>, where we offer most of the SaaS-based solutions and tools for free but charge a variable subscription fee for certain advanced functions and privileges.</w:t>
      </w:r>
    </w:p>
    <w:p>
      <w:pPr>
        <w:spacing w:after="0" w:line="99"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Transaction Services</w:t>
      </w:r>
    </w:p>
    <w:p>
      <w:pPr>
        <w:spacing w:after="0" w:line="7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Delivery</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provide comprehensive delivery services to new car merchants, including both vehicle warehousing and transportation. As of December 31, 2025, our delivery service network consisted of 95 “smart” warehouses in all provinces in mainland China and 4,067 logistics companies with 42,190 car-shipping trucks, serving 2,649 counties in all provinces in mainland China.</w:t>
      </w:r>
    </w:p>
    <w:p>
      <w:pPr>
        <w:spacing w:after="0" w:line="6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warehouses are equipped with various monitoring devices and an intelligent warehousing management system. While ensuring the safety of our customers’ vehicle assets in our warehouses, we also allow our customers to track them in real-time. Our smart warehouses nationwide also function as distribution centers in OEMs’ DTC sales efforts, servicing as the sorting and preparation stations before batch -shipped vehicles are offloaded, cleaned and loaded onto single-vehicle trucks and delivered to their respective end-consumers.</w:t>
      </w:r>
    </w:p>
    <w:p>
      <w:pPr>
        <w:spacing w:after="0" w:line="45"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We were a first-mover in single car delivery to consumer’s homes, new car dealer or broker’s shops, and OEM’s storefronts in shopping malls. Our delivery capacity includes approximately 42,190 contracted car-shipping trucks designed with single-vehicle capacity as of December 31, 2025, allowing them to navigate narrow city streets for home or shopping mall deliveries. The total volume for our single-car delivery service increased from 109,721 vehicles in 2023 to 153,308 vehicles in</w:t>
      </w:r>
    </w:p>
    <w:p>
      <w:pPr>
        <w:spacing w:after="0" w:line="9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0" w:name="page211"/>
    <w:bookmarkEnd w:id="21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57"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2024 and further increased to 180,341 vehicles in 2025. As of December 31, 2025, we were the largest single car delivery service provider in China, according to CIC. Except for 16 second-hand trucks we acquired for experimental initiatives, we do not own or operate any car-shipping trucks.</w:t>
      </w:r>
    </w:p>
    <w:p>
      <w:pPr>
        <w:spacing w:after="0" w:line="3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picture illustrates the car-shipping trucks that we use for single car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61595</wp:posOffset>
            </wp:positionV>
            <wp:extent cx="3722370" cy="1910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22370"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also offer “gift wrap” services with customized decorations and messages for consumer-facing deliveries. The following pictures illustrate the “gift wrap” services that we offer and allow cars to be delivered with customized decorations and messages: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40005</wp:posOffset>
            </wp:positionV>
            <wp:extent cx="3538220" cy="17786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38220"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1" w:name="page212"/>
    <w:bookmarkEnd w:id="21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take pride in the integration of our warehousing and transportation capabilities. Our customers can track the entire process of a vehicle’s delivery, much like how they could track a parcel’s delivery status on e-commerce platforms like Taobao or JD.com, through our system. The following diagram illustrates the process for our single car delivery service, and the screenshot to the right illustrates how our customers can track a vehicle’s delivery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45720</wp:posOffset>
            </wp:positionV>
            <wp:extent cx="3953510" cy="17722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953510" cy="177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As a testament to the synergies within our diverse range of services, we plan to leverage our growing network of used car inspection stations. As of December 31, 2025, we have established 508 inspection stations spanning 248 cities. These inspection stations will serve as crucial hubs in our expanding nationwide delivery service network. They will be utilized for taking shipping orders from used car dealers, further enhancing our delivery capabilities.</w:t>
      </w:r>
    </w:p>
    <w:p>
      <w:pPr>
        <w:spacing w:after="0" w:line="53"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For our delivery services, we typically charge fees based on transportation mileage, warehousing days, and any special handling requests. Our customer base for delivery services for both vehicle warehousing and transportation includes not only OEMs but also car dealers and brokers, auto trading companies, financial institutions, and individual car buyers and sellers. OEMs are the largest customers by amount of our single-car delivery services while auto trading companies and financial institutions contributed a majority of our revenue from warehousing services in 2023, 2024 and 2025. During the same years, a significant portion of our delivery services revenue was generated from warehousing services. Financial institutions use our warehouses to park vehicles held as collateral to the inventory loans they provide to car dealers.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Marketing and Others</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connection with our customer engagement solutions provided to OEMs, we provide customer engagement services to OEMs where we help them embrace the DTC sales model through managing OEMs’ customer engagement channels and selling merchandise. On one hand, our comprehensive customer engagement solutions and services guide the OEMs through the new territory of direct consumer engagement and help them establish customer-centric digital retail and marketing capacities. On the other hand, our customer engagement solutions and services seamlessly integrate with OEMs’ existing systems to enable order-driven manufacturing, real-time status tracking and timely accounting, allowing them to optimize supply chain as well as manufacturing, logistics and inventory processes. With our customer engagement solutions and services, OEMs can fully reap the immense operational benefit of direct consumer feedback at multiple stages from production to sales planning.</w:t>
      </w:r>
    </w:p>
    <w:p>
      <w:pPr>
        <w:spacing w:after="0" w:line="5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charge a fee for our marketing and other services, the amount of which is based on the specific type of services provided. In 2023, 2024 and 2025, we executed 58, 44, and 11 marketing related projects with their contract value ranging from approximately RMB50,000 to approximately RMB5 million per project.</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2" w:name="page213"/>
    <w:bookmarkEnd w:id="21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Data Capabilities and Technologies</w:t>
      </w:r>
    </w:p>
    <w:p>
      <w:pPr>
        <w:spacing w:after="0" w:line="7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platform digitalizes operations and processes vast amounts of data on vehicles and dealer activities.</w:t>
      </w:r>
    </w:p>
    <w:p>
      <w:pPr>
        <w:spacing w:after="0" w:line="3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Traditionally, a significant portion of the transaction and operation processes are carried out offline and are not integrated. As a result, transaction data often got buried in isolated “information silos,” inhibiting seamless flow across the operational and vehicle transaction processes.</w:t>
      </w:r>
    </w:p>
    <w:p>
      <w:pPr>
        <w:spacing w:after="0" w:line="4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For the past decade, we have been at the forefront of digitalizing China’s used car industry, creating a comprehensive portfolio of unique services tailored to the diverse business needs of car dealers and OEMs. By establishing touchpoints with auto merchants throughout the vehicle transaction process, we have managed to break down these information silos, so that data generated across the vehicle transaction process can be integrated into a common set of sophisticated algorithms. This in turn allows us to produce valuable, actionable insights that our competitors — who only serve a fraction of the dealer operation and vehicle transaction process — cannot offer. By leveraging the most comprehensive data accumulated from our ecosystem, we help transform operational insights into effective commercial tools, empowering auto merchants in ways that were previously unimaginable before using our service offerings.</w:t>
      </w:r>
    </w:p>
    <w:p>
      <w:pPr>
        <w:spacing w:after="0" w:line="5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operate a cutting-edge multi-tenant cloud-based system that serves as the foundation for our robust and scalable software platform. Built upon the latest cloud technologies, our platform is engineered for high scalability, reliability and performance, enabling us to deliver seamless and efficient services to our diverse customer bases.</w:t>
      </w:r>
    </w:p>
    <w:p>
      <w:pPr>
        <w:spacing w:after="0" w:line="48" w:lineRule="exact"/>
        <w:rPr>
          <w:sz w:val="20"/>
          <w:szCs w:val="20"/>
          <w:color w:val="auto"/>
        </w:rPr>
      </w:pPr>
    </w:p>
    <w:p>
      <w:pPr>
        <w:jc w:val="both"/>
        <w:ind w:left="1800" w:right="1398" w:hanging="136"/>
        <w:spacing w:after="0" w:line="239" w:lineRule="auto"/>
        <w:tabs>
          <w:tab w:leader="none" w:pos="1804" w:val="left"/>
        </w:tabs>
        <w:numPr>
          <w:ilvl w:val="0"/>
          <w:numId w:val="96"/>
        </w:numPr>
        <w:rPr>
          <w:rFonts w:ascii="Arial" w:cs="Arial" w:eastAsia="Arial" w:hAnsi="Arial"/>
          <w:sz w:val="11"/>
          <w:szCs w:val="11"/>
          <w:color w:val="auto"/>
        </w:rPr>
      </w:pPr>
      <w:r>
        <w:rPr>
          <w:rFonts w:ascii="Arial" w:cs="Arial" w:eastAsia="Arial" w:hAnsi="Arial"/>
          <w:sz w:val="14"/>
          <w:szCs w:val="14"/>
          <w:i w:val="1"/>
          <w:iCs w:val="1"/>
          <w:u w:val="single" w:color="auto"/>
          <w:color w:val="auto"/>
        </w:rPr>
        <w:t>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Leveraging the power of cloud computing, we can provide exceptional speed</w:t>
      </w:r>
      <w:r>
        <w:rPr>
          <w:rFonts w:ascii="Arial" w:cs="Arial" w:eastAsia="Arial" w:hAnsi="Arial"/>
          <w:sz w:val="14"/>
          <w:szCs w:val="14"/>
          <w:i w:val="1"/>
          <w:iCs w:val="1"/>
          <w:color w:val="auto"/>
        </w:rPr>
        <w:t xml:space="preserve"> </w:t>
      </w:r>
      <w:r>
        <w:rPr>
          <w:rFonts w:ascii="Arial" w:cs="Arial" w:eastAsia="Arial" w:hAnsi="Arial"/>
          <w:sz w:val="14"/>
          <w:szCs w:val="14"/>
          <w:color w:val="auto"/>
        </w:rPr>
        <w:t>and responsiveness to our users. With advanced load balancing techniques, intelligent resource allocation, and efficient data processing algorithms, we optimize system performance to deliver rapid responses and minimal latency. Our platform is designed to handle substantial volumes of data and concurrent user requests, providing a smooth and seamless user experience.</w:t>
      </w:r>
    </w:p>
    <w:p>
      <w:pPr>
        <w:spacing w:after="0" w:line="54" w:lineRule="exact"/>
        <w:rPr>
          <w:rFonts w:ascii="Arial" w:cs="Arial" w:eastAsia="Arial" w:hAnsi="Arial"/>
          <w:sz w:val="11"/>
          <w:szCs w:val="11"/>
          <w:color w:val="auto"/>
        </w:rPr>
      </w:pPr>
    </w:p>
    <w:p>
      <w:pPr>
        <w:jc w:val="both"/>
        <w:ind w:left="1800" w:right="1398" w:hanging="136"/>
        <w:spacing w:after="0" w:line="239" w:lineRule="auto"/>
        <w:tabs>
          <w:tab w:leader="none" w:pos="1804" w:val="left"/>
        </w:tabs>
        <w:numPr>
          <w:ilvl w:val="0"/>
          <w:numId w:val="96"/>
        </w:numPr>
        <w:rPr>
          <w:rFonts w:ascii="Arial" w:cs="Arial" w:eastAsia="Arial" w:hAnsi="Arial"/>
          <w:sz w:val="11"/>
          <w:szCs w:val="11"/>
          <w:color w:val="auto"/>
        </w:rPr>
      </w:pPr>
      <w:r>
        <w:rPr>
          <w:rFonts w:ascii="Arial" w:cs="Arial" w:eastAsia="Arial" w:hAnsi="Arial"/>
          <w:sz w:val="14"/>
          <w:szCs w:val="14"/>
          <w:i w:val="1"/>
          <w:iCs w:val="1"/>
          <w:u w:val="single" w:color="auto"/>
          <w:color w:val="auto"/>
        </w:rPr>
        <w:t>Reliability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Reliability is at the core of our platform. Powered by our high availability cloud</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we have implemented advanced automated failover mechanisms and redundant systems to ensure minimal downtime. As a result, our customers can rely on our platform’s availability, regardless of unexpected hardware failures or natural disasters. Our dedicated team of experts constantly monitor the platform through automated monitoring systems to identify and rectify potential issues before they can affect our customers.</w:t>
      </w:r>
    </w:p>
    <w:p>
      <w:pPr>
        <w:spacing w:after="0" w:line="54" w:lineRule="exact"/>
        <w:rPr>
          <w:rFonts w:ascii="Arial" w:cs="Arial" w:eastAsia="Arial" w:hAnsi="Arial"/>
          <w:sz w:val="11"/>
          <w:szCs w:val="11"/>
          <w:color w:val="auto"/>
        </w:rPr>
      </w:pPr>
    </w:p>
    <w:p>
      <w:pPr>
        <w:jc w:val="both"/>
        <w:ind w:left="1800" w:right="1398" w:hanging="136"/>
        <w:spacing w:after="0" w:line="239" w:lineRule="auto"/>
        <w:tabs>
          <w:tab w:leader="none" w:pos="1806" w:val="left"/>
        </w:tabs>
        <w:numPr>
          <w:ilvl w:val="0"/>
          <w:numId w:val="96"/>
        </w:numPr>
        <w:rPr>
          <w:rFonts w:ascii="Arial" w:cs="Arial" w:eastAsia="Arial" w:hAnsi="Arial"/>
          <w:sz w:val="14"/>
          <w:szCs w:val="14"/>
          <w:color w:val="auto"/>
        </w:rPr>
      </w:pPr>
      <w:r>
        <w:rPr>
          <w:rFonts w:ascii="Arial" w:cs="Arial" w:eastAsia="Arial" w:hAnsi="Arial"/>
          <w:sz w:val="14"/>
          <w:szCs w:val="14"/>
          <w:i w:val="1"/>
          <w:iCs w:val="1"/>
          <w:u w:val="single" w:color="auto"/>
          <w:color w:val="auto"/>
        </w:rPr>
        <w:t>Scalability</w:t>
      </w:r>
      <w:r>
        <w:rPr>
          <w:rFonts w:ascii="Arial" w:cs="Arial" w:eastAsia="Arial" w:hAnsi="Arial"/>
          <w:sz w:val="14"/>
          <w:szCs w:val="14"/>
          <w:i w:val="1"/>
          <w:iCs w:val="1"/>
          <w:color w:val="auto"/>
        </w:rPr>
        <w:t xml:space="preserve">. </w:t>
      </w:r>
      <w:r>
        <w:rPr>
          <w:rFonts w:ascii="Arial" w:cs="Arial" w:eastAsia="Arial" w:hAnsi="Arial"/>
          <w:sz w:val="14"/>
          <w:szCs w:val="14"/>
          <w:color w:val="auto"/>
        </w:rPr>
        <w:t>Our platform is designed to accommodate the growth and evolving needs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By leveraging the cloud’s elastic computing capabilities, we can dynamically allocate resources based on demand, ensuring optimal performance and responsiveness even during peak usage periods. This scalability empowers our customers to expand their operations without worrying about infrastructure limitations, allowing them to focus on their core business objectives.</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consider ourselves pioneers in driving the digitalization of China’s automotive industry, harnessing the potential of our vast database and core technologies. We believe we are empowered by our application of technologies, including:</w:t>
      </w:r>
    </w:p>
    <w:p>
      <w:pPr>
        <w:spacing w:after="0" w:line="66" w:lineRule="exact"/>
        <w:rPr>
          <w:sz w:val="20"/>
          <w:szCs w:val="20"/>
          <w:color w:val="auto"/>
        </w:rPr>
      </w:pPr>
    </w:p>
    <w:p>
      <w:pPr>
        <w:jc w:val="both"/>
        <w:ind w:left="1800" w:right="1398" w:hanging="136"/>
        <w:spacing w:after="0" w:line="238" w:lineRule="auto"/>
        <w:tabs>
          <w:tab w:leader="none" w:pos="1827" w:val="left"/>
        </w:tabs>
        <w:numPr>
          <w:ilvl w:val="0"/>
          <w:numId w:val="97"/>
        </w:numPr>
        <w:rPr>
          <w:rFonts w:ascii="Arial" w:cs="Arial" w:eastAsia="Arial" w:hAnsi="Arial"/>
          <w:sz w:val="14"/>
          <w:szCs w:val="14"/>
          <w:color w:val="auto"/>
        </w:rPr>
      </w:pPr>
      <w:r>
        <w:rPr>
          <w:rFonts w:ascii="Arial" w:cs="Arial" w:eastAsia="Arial" w:hAnsi="Arial"/>
          <w:sz w:val="14"/>
          <w:szCs w:val="14"/>
          <w:i w:val="1"/>
          <w:iCs w:val="1"/>
          <w:u w:val="single" w:color="auto"/>
          <w:color w:val="auto"/>
        </w:rPr>
        <w:t>Data-driven matching capabilities</w:t>
      </w:r>
      <w:r>
        <w:rPr>
          <w:rFonts w:ascii="Arial" w:cs="Arial" w:eastAsia="Arial" w:hAnsi="Arial"/>
          <w:sz w:val="14"/>
          <w:szCs w:val="14"/>
          <w:color w:val="auto"/>
        </w:rPr>
        <w:t>. Our proprietary AI and data-driven analytics algorithms</w:t>
      </w:r>
      <w:r>
        <w:rPr>
          <w:rFonts w:ascii="Arial" w:cs="Arial" w:eastAsia="Arial" w:hAnsi="Arial"/>
          <w:sz w:val="14"/>
          <w:szCs w:val="14"/>
          <w:i w:val="1"/>
          <w:iCs w:val="1"/>
          <w:color w:val="auto"/>
        </w:rPr>
        <w:t xml:space="preserve"> </w:t>
      </w:r>
      <w:r>
        <w:rPr>
          <w:rFonts w:ascii="Arial" w:cs="Arial" w:eastAsia="Arial" w:hAnsi="Arial"/>
          <w:sz w:val="14"/>
          <w:szCs w:val="14"/>
          <w:color w:val="auto"/>
        </w:rPr>
        <w:t>enable us to match dealers intelligently and accurately with vehicles that meet their needs. Over the years, we have developed a vast and comprehensive database of new and used vehicles, including basic vehicle information provided by users of our online platform, as well as a vast amount of user behavior, transactional and industry data from our own and third-party platforms. This data provides us with valuable insights, creates a high barrier to entry for potential competitors and gives us a significant competitive advantage.</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3" w:name="page214"/>
    <w:bookmarkEnd w:id="21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9" w:lineRule="auto"/>
        <w:tabs>
          <w:tab w:leader="none" w:pos="1796" w:val="left"/>
        </w:tabs>
        <w:numPr>
          <w:ilvl w:val="0"/>
          <w:numId w:val="98"/>
        </w:numPr>
        <w:rPr>
          <w:rFonts w:ascii="Arial" w:cs="Arial" w:eastAsia="Arial" w:hAnsi="Arial"/>
          <w:sz w:val="13"/>
          <w:szCs w:val="13"/>
          <w:color w:val="auto"/>
        </w:rPr>
      </w:pPr>
      <w:r>
        <w:rPr>
          <w:rFonts w:ascii="Arial" w:cs="Arial" w:eastAsia="Arial" w:hAnsi="Arial"/>
          <w:sz w:val="13"/>
          <w:szCs w:val="13"/>
          <w:i w:val="1"/>
          <w:iCs w:val="1"/>
          <w:u w:val="single" w:color="auto"/>
          <w:color w:val="auto"/>
        </w:rPr>
        <w:t>Price-discovering model</w:t>
      </w:r>
      <w:r>
        <w:rPr>
          <w:rFonts w:ascii="Arial" w:cs="Arial" w:eastAsia="Arial" w:hAnsi="Arial"/>
          <w:sz w:val="13"/>
          <w:szCs w:val="13"/>
          <w:color w:val="auto"/>
        </w:rPr>
        <w:t>. Our ability to accurately price transacted vehicles is one of the core</w:t>
      </w:r>
      <w:r>
        <w:rPr>
          <w:rFonts w:ascii="Arial" w:cs="Arial" w:eastAsia="Arial" w:hAnsi="Arial"/>
          <w:sz w:val="13"/>
          <w:szCs w:val="13"/>
          <w:i w:val="1"/>
          <w:iCs w:val="1"/>
          <w:color w:val="auto"/>
        </w:rPr>
        <w:t xml:space="preserve"> </w:t>
      </w:r>
      <w:r>
        <w:rPr>
          <w:rFonts w:ascii="Arial" w:cs="Arial" w:eastAsia="Arial" w:hAnsi="Arial"/>
          <w:sz w:val="13"/>
          <w:szCs w:val="13"/>
          <w:color w:val="auto"/>
        </w:rPr>
        <w:t>strengths of our technology system. We have developed proprietary AI and a machine learning-based price-discovering model. Our price-discovering model analyzes transaction records to characterize car dealers based on their price preferences. Our dynamic pricing is based on various factors, such as model, age, mileage, accident history, location and vehicle and market conditions, information about all of which are available on our platform. The price-discovering model helps increase vehicle transaction rates and user engagement with our platform.</w:t>
      </w:r>
    </w:p>
    <w:p>
      <w:pPr>
        <w:spacing w:after="0" w:line="74" w:lineRule="exact"/>
        <w:rPr>
          <w:rFonts w:ascii="Arial" w:cs="Arial" w:eastAsia="Arial" w:hAnsi="Arial"/>
          <w:sz w:val="13"/>
          <w:szCs w:val="13"/>
          <w:color w:val="auto"/>
        </w:rPr>
      </w:pPr>
    </w:p>
    <w:p>
      <w:pPr>
        <w:jc w:val="both"/>
        <w:ind w:left="1800" w:right="1398" w:hanging="136"/>
        <w:spacing w:after="0" w:line="241" w:lineRule="auto"/>
        <w:tabs>
          <w:tab w:leader="none" w:pos="1820" w:val="left"/>
        </w:tabs>
        <w:numPr>
          <w:ilvl w:val="0"/>
          <w:numId w:val="98"/>
        </w:numPr>
        <w:rPr>
          <w:rFonts w:ascii="Arial" w:cs="Arial" w:eastAsia="Arial" w:hAnsi="Arial"/>
          <w:sz w:val="14"/>
          <w:szCs w:val="14"/>
          <w:color w:val="auto"/>
        </w:rPr>
      </w:pPr>
      <w:r>
        <w:rPr>
          <w:rFonts w:ascii="Arial" w:cs="Arial" w:eastAsia="Arial" w:hAnsi="Arial"/>
          <w:sz w:val="14"/>
          <w:szCs w:val="14"/>
          <w:i w:val="1"/>
          <w:iCs w:val="1"/>
          <w:u w:val="single" w:color="auto"/>
          <w:color w:val="auto"/>
        </w:rPr>
        <w:t>Automatic inspection system</w:t>
      </w:r>
      <w:r>
        <w:rPr>
          <w:rFonts w:ascii="Arial" w:cs="Arial" w:eastAsia="Arial" w:hAnsi="Arial"/>
          <w:sz w:val="14"/>
          <w:szCs w:val="14"/>
          <w:color w:val="auto"/>
        </w:rPr>
        <w:t>. Our self-developed automatic vehicle inspection system has</w:t>
      </w:r>
      <w:r>
        <w:rPr>
          <w:rFonts w:ascii="Arial" w:cs="Arial" w:eastAsia="Arial" w:hAnsi="Arial"/>
          <w:sz w:val="14"/>
          <w:szCs w:val="14"/>
          <w:i w:val="1"/>
          <w:iCs w:val="1"/>
          <w:color w:val="auto"/>
        </w:rPr>
        <w:t xml:space="preserve"> </w:t>
      </w:r>
      <w:r>
        <w:rPr>
          <w:rFonts w:ascii="Arial" w:cs="Arial" w:eastAsia="Arial" w:hAnsi="Arial"/>
          <w:sz w:val="14"/>
          <w:szCs w:val="14"/>
          <w:color w:val="auto"/>
        </w:rPr>
        <w:t>digitalized and standardized the vehicle inspection process to reduce the risks of human error. We use AI and machine-learning technology to automatically detect car defects and mechanical faults. Leveraging our massive database and big data analytics capability, our automatic inspection system provides comprehensive and trustful inspection results.</w:t>
      </w:r>
    </w:p>
    <w:p>
      <w:pPr>
        <w:spacing w:after="0" w:line="84" w:lineRule="exact"/>
        <w:rPr>
          <w:rFonts w:ascii="Arial" w:cs="Arial" w:eastAsia="Arial" w:hAnsi="Arial"/>
          <w:sz w:val="14"/>
          <w:szCs w:val="14"/>
          <w:color w:val="auto"/>
        </w:rPr>
      </w:pPr>
    </w:p>
    <w:p>
      <w:pPr>
        <w:jc w:val="both"/>
        <w:ind w:left="1800" w:right="1398" w:hanging="136"/>
        <w:spacing w:after="0" w:line="259" w:lineRule="auto"/>
        <w:tabs>
          <w:tab w:leader="none" w:pos="1783" w:val="left"/>
        </w:tabs>
        <w:numPr>
          <w:ilvl w:val="0"/>
          <w:numId w:val="98"/>
        </w:numPr>
        <w:rPr>
          <w:rFonts w:ascii="Arial" w:cs="Arial" w:eastAsia="Arial" w:hAnsi="Arial"/>
          <w:sz w:val="10"/>
          <w:szCs w:val="10"/>
          <w:color w:val="auto"/>
        </w:rPr>
      </w:pPr>
      <w:r>
        <w:rPr>
          <w:rFonts w:ascii="Arial" w:cs="Arial" w:eastAsia="Arial" w:hAnsi="Arial"/>
          <w:sz w:val="13"/>
          <w:szCs w:val="13"/>
          <w:i w:val="1"/>
          <w:iCs w:val="1"/>
          <w:u w:val="single" w:color="auto"/>
          <w:color w:val="auto"/>
        </w:rPr>
        <w:t>Digital operation, sales and marketing tools</w:t>
      </w:r>
      <w:r>
        <w:rPr>
          <w:rFonts w:ascii="Arial" w:cs="Arial" w:eastAsia="Arial" w:hAnsi="Arial"/>
          <w:sz w:val="13"/>
          <w:szCs w:val="13"/>
          <w:color w:val="auto"/>
        </w:rPr>
        <w:t>. We offer a variety of purpose-built applications,</w:t>
      </w:r>
      <w:r>
        <w:rPr>
          <w:rFonts w:ascii="Arial" w:cs="Arial" w:eastAsia="Arial" w:hAnsi="Arial"/>
          <w:sz w:val="13"/>
          <w:szCs w:val="13"/>
          <w:i w:val="1"/>
          <w:iCs w:val="1"/>
          <w:color w:val="auto"/>
        </w:rPr>
        <w:t xml:space="preserve"> </w:t>
      </w:r>
      <w:r>
        <w:rPr>
          <w:rFonts w:ascii="Arial" w:cs="Arial" w:eastAsia="Arial" w:hAnsi="Arial"/>
          <w:sz w:val="13"/>
          <w:szCs w:val="13"/>
          <w:color w:val="auto"/>
        </w:rPr>
        <w:t>tools and systems tailored for dealers’ needs and enable car dealers to streamline and efficiently manage each aspect of their business. We create digital tools with APIs linked to social media platforms to help customers attract traffic from third-party marketplaces. By implanting the same SDKs across different mobile applications, we synchronize car data and resources on our platforms to facilitate single application-based transaction scenarios. We also constantly iterate these digital solutions and tools to meet the evolving needs of our customers.</w:t>
      </w:r>
    </w:p>
    <w:p>
      <w:pPr>
        <w:spacing w:after="0" w:line="6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believe data security is critical to our business operation. To safeguard sensitive information, we have implemented comprehensive internal rules and policies that dictate the appropriate use and sharing of such data. Additionally, we have established a robust suite of protocols, technologies and systems to ensure that personal information remains protected and is not accessed or disclosed improperly. Our platforms adhere to privacy policies that guide our practices regarding the collection, use, sharing and protection of users’ personal information. These policies outline the types of personal information we collect, how we utilize and safeguard it, and users’ privacy rights in accordance with applicable laws. Prior to using our services, all users are required to acknowledge and agree to the terms and conditions outlined in the user agreement and our privacy policies.</w:t>
      </w:r>
    </w:p>
    <w:p>
      <w:pPr>
        <w:spacing w:after="0" w:line="8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From an internal policy perspective, we have implemented a comprehensive suite of platform-wide policies and procedures to govern our data security and privacy protection practices:</w:t>
      </w:r>
    </w:p>
    <w:p>
      <w:pPr>
        <w:spacing w:after="0" w:line="62" w:lineRule="exact"/>
        <w:rPr>
          <w:sz w:val="20"/>
          <w:szCs w:val="20"/>
          <w:color w:val="auto"/>
        </w:rPr>
      </w:pPr>
    </w:p>
    <w:p>
      <w:pPr>
        <w:jc w:val="both"/>
        <w:ind w:left="1800" w:right="1398" w:hanging="136"/>
        <w:spacing w:after="0" w:line="241" w:lineRule="auto"/>
        <w:tabs>
          <w:tab w:leader="none" w:pos="1804" w:val="left"/>
        </w:tabs>
        <w:numPr>
          <w:ilvl w:val="0"/>
          <w:numId w:val="99"/>
        </w:numPr>
        <w:rPr>
          <w:rFonts w:ascii="Arial" w:cs="Arial" w:eastAsia="Arial" w:hAnsi="Arial"/>
          <w:sz w:val="11"/>
          <w:szCs w:val="11"/>
          <w:color w:val="auto"/>
        </w:rPr>
      </w:pPr>
      <w:r>
        <w:rPr>
          <w:rFonts w:ascii="Arial" w:cs="Arial" w:eastAsia="Arial" w:hAnsi="Arial"/>
          <w:sz w:val="14"/>
          <w:szCs w:val="14"/>
          <w:i w:val="1"/>
          <w:iCs w:val="1"/>
          <w:u w:val="single" w:color="auto"/>
          <w:color w:val="auto"/>
        </w:rPr>
        <w:t>Data Collection</w:t>
      </w:r>
      <w:r>
        <w:rPr>
          <w:rFonts w:ascii="Arial" w:cs="Arial" w:eastAsia="Arial" w:hAnsi="Arial"/>
          <w:sz w:val="14"/>
          <w:szCs w:val="14"/>
          <w:color w:val="auto"/>
        </w:rPr>
        <w:t>. We collect user data only to the extent necessary for our product functions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services upon receipt of the consent from our users. For example, we collect certain basic information for user account registration and verification purposes. We will notify users of the types of personal information we collect, our purpose of processing personal information, usage and protection of user data, and users’ rights, among other things.</w:t>
      </w:r>
    </w:p>
    <w:p>
      <w:pPr>
        <w:spacing w:after="0" w:line="73"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99"/>
        </w:numPr>
        <w:rPr>
          <w:rFonts w:ascii="Arial" w:cs="Arial" w:eastAsia="Arial" w:hAnsi="Arial"/>
          <w:sz w:val="11"/>
          <w:szCs w:val="11"/>
          <w:color w:val="auto"/>
        </w:rPr>
      </w:pPr>
      <w:r>
        <w:rPr>
          <w:rFonts w:ascii="Arial" w:cs="Arial" w:eastAsia="Arial" w:hAnsi="Arial"/>
          <w:sz w:val="14"/>
          <w:szCs w:val="14"/>
          <w:i w:val="1"/>
          <w:iCs w:val="1"/>
          <w:u w:val="single" w:color="auto"/>
          <w:color w:val="auto"/>
        </w:rPr>
        <w:t>Data Usage</w:t>
      </w:r>
      <w:r>
        <w:rPr>
          <w:rFonts w:ascii="Arial" w:cs="Arial" w:eastAsia="Arial" w:hAnsi="Arial"/>
          <w:sz w:val="14"/>
          <w:szCs w:val="14"/>
          <w:color w:val="auto"/>
        </w:rPr>
        <w:t>. We fully disclose the usage of personal information and data that we collect</w:t>
      </w:r>
      <w:r>
        <w:rPr>
          <w:rFonts w:ascii="Arial" w:cs="Arial" w:eastAsia="Arial" w:hAnsi="Arial"/>
          <w:sz w:val="14"/>
          <w:szCs w:val="14"/>
          <w:i w:val="1"/>
          <w:iCs w:val="1"/>
          <w:color w:val="auto"/>
        </w:rPr>
        <w:t xml:space="preserve"> </w:t>
      </w:r>
      <w:r>
        <w:rPr>
          <w:rFonts w:ascii="Arial" w:cs="Arial" w:eastAsia="Arial" w:hAnsi="Arial"/>
          <w:sz w:val="14"/>
          <w:szCs w:val="14"/>
          <w:color w:val="auto"/>
        </w:rPr>
        <w:t>from users in our privacy policies. If we need to use the personal information and data for purposes other than as disclosed in the privacy policies, we will notify the users and seek their explicit consent before we proceed.</w:t>
      </w:r>
    </w:p>
    <w:p>
      <w:pPr>
        <w:spacing w:after="0" w:line="79" w:lineRule="exact"/>
        <w:rPr>
          <w:rFonts w:ascii="Arial" w:cs="Arial" w:eastAsia="Arial" w:hAnsi="Arial"/>
          <w:sz w:val="11"/>
          <w:szCs w:val="11"/>
          <w:color w:val="auto"/>
        </w:rPr>
      </w:pPr>
    </w:p>
    <w:p>
      <w:pPr>
        <w:jc w:val="both"/>
        <w:ind w:left="1800" w:right="1398" w:hanging="136"/>
        <w:spacing w:after="0" w:line="237" w:lineRule="auto"/>
        <w:tabs>
          <w:tab w:leader="none" w:pos="1783" w:val="left"/>
        </w:tabs>
        <w:numPr>
          <w:ilvl w:val="0"/>
          <w:numId w:val="99"/>
        </w:numPr>
        <w:rPr>
          <w:rFonts w:ascii="Arial" w:cs="Arial" w:eastAsia="Arial" w:hAnsi="Arial"/>
          <w:sz w:val="11"/>
          <w:szCs w:val="11"/>
          <w:i w:val="1"/>
          <w:iCs w:val="1"/>
          <w:u w:val="single" w:color="auto"/>
          <w:color w:val="auto"/>
        </w:rPr>
      </w:pPr>
      <w:r>
        <w:rPr>
          <w:rFonts w:ascii="Arial" w:cs="Arial" w:eastAsia="Arial" w:hAnsi="Arial"/>
          <w:sz w:val="14"/>
          <w:szCs w:val="14"/>
          <w:i w:val="1"/>
          <w:iCs w:val="1"/>
          <w:u w:val="single" w:color="auto"/>
          <w:color w:val="auto"/>
        </w:rPr>
        <w:t>Data Access</w:t>
      </w:r>
      <w:r>
        <w:rPr>
          <w:rFonts w:ascii="Arial" w:cs="Arial" w:eastAsia="Arial" w:hAnsi="Arial"/>
          <w:sz w:val="14"/>
          <w:szCs w:val="14"/>
          <w:color w:val="auto"/>
        </w:rPr>
        <w:t>. We limit access to our servers that store our user and internal data on a “need-to-know” basis. We also adopt various data security measures, such as data encryption, to ensure the secured storage and transmission of data, and prevent any unauthorized member of the public or third parties from accessing or using our data in any unauthorized manner. Furthermore, we implement data de-identification and data masking of user data for the purpose of fending off potential hacking or security attacks. In addition, we have adopted an incident response plan, which provides a well-defined, organized approach for handling any potential threat to servers and data, as well as taking appropriate actions when</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4" w:name="page215"/>
    <w:bookmarkEnd w:id="21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spacing w:after="0" w:line="245" w:lineRule="auto"/>
        <w:rPr>
          <w:sz w:val="20"/>
          <w:szCs w:val="20"/>
          <w:color w:val="auto"/>
        </w:rPr>
      </w:pPr>
      <w:r>
        <w:rPr>
          <w:rFonts w:ascii="Arial" w:cs="Arial" w:eastAsia="Arial" w:hAnsi="Arial"/>
          <w:sz w:val="14"/>
          <w:szCs w:val="14"/>
          <w:color w:val="auto"/>
        </w:rPr>
        <w:t>the data breach concerns personal information. We provide group-wide regular trainings to our employees that focus on cybersecurity and data privacy awareness topics critical to our business operations, including the best practices to protect data from loss, modification, leakage or theft.</w:t>
      </w:r>
    </w:p>
    <w:p>
      <w:pPr>
        <w:spacing w:after="0" w:line="79" w:lineRule="exact"/>
        <w:rPr>
          <w:sz w:val="20"/>
          <w:szCs w:val="20"/>
          <w:color w:val="auto"/>
        </w:rPr>
      </w:pPr>
    </w:p>
    <w:p>
      <w:pPr>
        <w:jc w:val="both"/>
        <w:ind w:left="1800" w:right="1398" w:hanging="136"/>
        <w:spacing w:after="0" w:line="245" w:lineRule="auto"/>
        <w:tabs>
          <w:tab w:leader="none" w:pos="1804" w:val="left"/>
        </w:tabs>
        <w:numPr>
          <w:ilvl w:val="0"/>
          <w:numId w:val="100"/>
        </w:numPr>
        <w:rPr>
          <w:rFonts w:ascii="Arial" w:cs="Arial" w:eastAsia="Arial" w:hAnsi="Arial"/>
          <w:sz w:val="11"/>
          <w:szCs w:val="11"/>
          <w:color w:val="auto"/>
        </w:rPr>
      </w:pPr>
      <w:r>
        <w:rPr>
          <w:rFonts w:ascii="Arial" w:cs="Arial" w:eastAsia="Arial" w:hAnsi="Arial"/>
          <w:sz w:val="14"/>
          <w:szCs w:val="14"/>
          <w:i w:val="1"/>
          <w:iCs w:val="1"/>
          <w:u w:val="single" w:color="auto"/>
          <w:color w:val="auto"/>
        </w:rPr>
        <w:t>Data Storage and Retention</w:t>
      </w:r>
      <w:r>
        <w:rPr>
          <w:rFonts w:ascii="Arial" w:cs="Arial" w:eastAsia="Arial" w:hAnsi="Arial"/>
          <w:sz w:val="14"/>
          <w:szCs w:val="14"/>
          <w:color w:val="auto"/>
        </w:rPr>
        <w:t>. We require that personal information and data we collect in</w:t>
      </w:r>
      <w:r>
        <w:rPr>
          <w:rFonts w:ascii="Arial" w:cs="Arial" w:eastAsia="Arial" w:hAnsi="Arial"/>
          <w:sz w:val="14"/>
          <w:szCs w:val="14"/>
          <w:i w:val="1"/>
          <w:iCs w:val="1"/>
          <w:color w:val="auto"/>
        </w:rPr>
        <w:t xml:space="preserve"> </w:t>
      </w:r>
      <w:r>
        <w:rPr>
          <w:rFonts w:ascii="Arial" w:cs="Arial" w:eastAsia="Arial" w:hAnsi="Arial"/>
          <w:sz w:val="14"/>
          <w:szCs w:val="14"/>
          <w:color w:val="auto"/>
        </w:rPr>
        <w:t>China be stored and preserved within China. We will only retain user data for as long as necessary to fulfill the purposes for which it was processed as stated in our privacy policies, or as required by applicable laws and regulations.</w:t>
      </w:r>
    </w:p>
    <w:p>
      <w:pPr>
        <w:spacing w:after="0" w:line="79" w:lineRule="exact"/>
        <w:rPr>
          <w:rFonts w:ascii="Arial" w:cs="Arial" w:eastAsia="Arial" w:hAnsi="Arial"/>
          <w:sz w:val="11"/>
          <w:szCs w:val="11"/>
          <w:color w:val="auto"/>
        </w:rPr>
      </w:pPr>
    </w:p>
    <w:p>
      <w:pPr>
        <w:jc w:val="both"/>
        <w:ind w:left="1800" w:right="1398" w:hanging="136"/>
        <w:spacing w:after="0" w:line="236" w:lineRule="auto"/>
        <w:tabs>
          <w:tab w:leader="none" w:pos="1792" w:val="left"/>
        </w:tabs>
        <w:numPr>
          <w:ilvl w:val="0"/>
          <w:numId w:val="100"/>
        </w:numPr>
        <w:rPr>
          <w:rFonts w:ascii="Arial" w:cs="Arial" w:eastAsia="Arial" w:hAnsi="Arial"/>
          <w:sz w:val="14"/>
          <w:szCs w:val="14"/>
          <w:color w:val="auto"/>
        </w:rPr>
      </w:pPr>
      <w:r>
        <w:rPr>
          <w:rFonts w:ascii="Arial" w:cs="Arial" w:eastAsia="Arial" w:hAnsi="Arial"/>
          <w:sz w:val="14"/>
          <w:szCs w:val="14"/>
          <w:i w:val="1"/>
          <w:iCs w:val="1"/>
          <w:u w:val="single" w:color="auto"/>
          <w:color w:val="auto"/>
        </w:rPr>
        <w:t>Data Transmission</w:t>
      </w:r>
      <w:r>
        <w:rPr>
          <w:rFonts w:ascii="Arial" w:cs="Arial" w:eastAsia="Arial" w:hAnsi="Arial"/>
          <w:sz w:val="14"/>
          <w:szCs w:val="14"/>
          <w:color w:val="auto"/>
        </w:rPr>
        <w:t>. We do not transfer our user data to third parties unless we have obtained</w:t>
      </w:r>
      <w:r>
        <w:rPr>
          <w:rFonts w:ascii="Arial" w:cs="Arial" w:eastAsia="Arial" w:hAnsi="Arial"/>
          <w:sz w:val="14"/>
          <w:szCs w:val="14"/>
          <w:i w:val="1"/>
          <w:iCs w:val="1"/>
          <w:color w:val="auto"/>
        </w:rPr>
        <w:t xml:space="preserve"> </w:t>
      </w:r>
      <w:r>
        <w:rPr>
          <w:rFonts w:ascii="Arial" w:cs="Arial" w:eastAsia="Arial" w:hAnsi="Arial"/>
          <w:sz w:val="14"/>
          <w:szCs w:val="14"/>
          <w:color w:val="auto"/>
        </w:rPr>
        <w:t>explicit consent from the users themselves, or if such transmission is essential for the provision of our service offerings to users. We take precautionary measures to ensure the integrity and security of data in transit to our business partners. These measures may include (i) requiring our business partners to handle the personal information and data we transmit in accordance with our standards, requirements and protocols, including providing the same level of protection; (ii) requiring our business partners to deliver written confidentiality undertakings before any data is transmitted; (iii) obtaining internal approval from the personnel in charge of data security; (iv) requiring our business partners to return or delete the personal information and data that we transmitted after the termination of services; and (v) preserving the review log for future inspection.</w:t>
      </w:r>
    </w:p>
    <w:p>
      <w:pPr>
        <w:spacing w:after="0" w:line="13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AI Capabilities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AI strength lies in the application layer — in understanding the specific problems a used-car dealer faces, in holding the granular industry data needed to address them, and in delivering answers inside the tools dealers use every day. We believe this is where we can add the most value to used car commerce. We do not develop our own foundation models, and as of the date of this prospectus, we do not fine-tune or otherwise modify the models of others. We access leading third-party large language models on standard terms and use them as they are. For details, see “— Our Collaboration with Third-Party Large-Model Providers.”</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How our AI applications have evolved</w:t>
      </w:r>
    </w:p>
    <w:p>
      <w:pPr>
        <w:spacing w:after="0" w:line="107"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We began by using algorithms, machine learning and third-party large language models, together with our proprietary data, to make discrete functions within our operating system more intelligent. Each of these embedded features performs a single, well-defined task: our price-discovering model estimates what a vehicle is worth; our matching engine pairs dealers and customer leads with suitable vehicles; our automatic inspection system detects defects and standardizes inspection results; and our photo feature upgrades listing images to a clean, studio-style finish. These features have supported dealers’ pricing, sourcing, inspection and listing workflows for since 2023.</w:t>
      </w:r>
    </w:p>
    <w:p>
      <w:pPr>
        <w:spacing w:after="0" w:line="7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Beginning in early 2026, we introduced a new suite of AI agents, integrated into the daily workflows of used -car dealers on our </w:t>
      </w:r>
      <w:r>
        <w:rPr>
          <w:rFonts w:ascii="Arial" w:cs="Arial" w:eastAsia="Arial" w:hAnsi="Arial"/>
          <w:sz w:val="14"/>
          <w:szCs w:val="14"/>
          <w:i w:val="1"/>
          <w:iCs w:val="1"/>
          <w:color w:val="auto"/>
        </w:rPr>
        <w:t>DaFengChe</w:t>
      </w:r>
      <w:r>
        <w:rPr>
          <w:rFonts w:ascii="Arial" w:cs="Arial" w:eastAsia="Arial" w:hAnsi="Arial"/>
          <w:sz w:val="14"/>
          <w:szCs w:val="14"/>
          <w:color w:val="auto"/>
        </w:rPr>
        <w:t>. These agents take on larger, multi-dimensional tasks and produce markedly more sophisticated output. A dealer can, for example, ask an AI agent to review the dealership’s entire inventory and operating performance and return a prioritized list of problem areas and recommended actions — much like a seasoned management consultant; to compile a market report spanning same-model new-car prices, used-car price ranges in select markets, competing models and relevant supply-demand dynamics changes — much like a diligent market-research analyst; or to transcribe a live sales call, read the customer’s intent and recommend the next car to offer — much like a seasoned sales representative.</w:t>
      </w:r>
    </w:p>
    <w:p>
      <w:pPr>
        <w:spacing w:after="0" w:line="7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are still at a nascent stage of developing AI agents for used car dealers. At present, these agents serve a supporting and advisory role, and the dealer makes the decisions. We intend to introduce additional agents and to enable our existing agents to handle more of a dealer’s workload, and to perform it more capably and intelligently. As our AI agents earn dealers’ trust and delegation, we aim to automate more of the day-to-day work of running a used car dealership. We cannot assure you,</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5" w:name="page216"/>
    <w:bookmarkEnd w:id="21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however, that our agents will achieve broad adoption, perform as intended or contribute significantly to our revenue; these statements are forward-looking and are subject to the risks described under ‘Risk Factors — Risks Related to Our Business and Industry — We operate in the used car transaction service market in China, which is emerging, rapidly evolving and competitive. As a result, predicting our prospects is challenging and our historical operating and financial results may not necessarily predict our future performance.’ and ‘Cautionary Statement Regarding Forward-Looking Statements.’</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color w:val="auto"/>
        </w:rPr>
        <w:t>Specific utilization of our AI agents</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 used car dealer faces consequential decisions every single day. “Where do I find the car this customer wants? How much should I pay to procure it, and what will it resell for? Will it sell quickly, or sit and tie up my capital? What are the supply-and -demand dynamics for each car sitting on my lot? And do I cut my price to close the buyer in front of me, or hold firm and bet the next buyer pays more — and risk getting stuck with the car at a loss?” The success, or even the viability, of a used car dealership hinges on getting those decisions right, and getting them right fast.</w:t>
      </w:r>
    </w:p>
    <w:p>
      <w:pPr>
        <w:spacing w:after="0" w:line="65"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Historically, these judgments have rested largely on an individual dealer’s instinct and experience. They are precisely the type of judgments our AI agents excel at. Our AI agents draw on our massive, granular, real-time industry data to produce a market-wide view of supply, demand and pricing that no single dealer, however experienced, could assemble on their own. And, for immediate outreach to other dealers, which is usually the case in used car dealing in China, our AI agents tap our extensive connections with dealers nationwide, a network that no single dealer could achieve on their own.</w:t>
      </w:r>
    </w:p>
    <w:p>
      <w:pPr>
        <w:spacing w:after="0" w:line="52" w:lineRule="exact"/>
        <w:rPr>
          <w:sz w:val="20"/>
          <w:szCs w:val="20"/>
          <w:color w:val="auto"/>
        </w:rPr>
      </w:pPr>
    </w:p>
    <w:p>
      <w:pPr>
        <w:jc w:val="both"/>
        <w:ind w:left="1800" w:right="1398" w:hanging="136"/>
        <w:spacing w:after="0" w:line="236" w:lineRule="auto"/>
        <w:tabs>
          <w:tab w:leader="none" w:pos="1804" w:val="left"/>
        </w:tabs>
        <w:numPr>
          <w:ilvl w:val="0"/>
          <w:numId w:val="101"/>
        </w:numPr>
        <w:rPr>
          <w:rFonts w:ascii="Arial" w:cs="Arial" w:eastAsia="Arial" w:hAnsi="Arial"/>
          <w:sz w:val="11"/>
          <w:szCs w:val="11"/>
          <w:color w:val="auto"/>
        </w:rPr>
      </w:pPr>
      <w:r>
        <w:rPr>
          <w:rFonts w:ascii="Arial" w:cs="Arial" w:eastAsia="Arial" w:hAnsi="Arial"/>
          <w:sz w:val="14"/>
          <w:szCs w:val="14"/>
          <w:color w:val="auto"/>
        </w:rPr>
        <w:t>“</w:t>
      </w:r>
      <w:r>
        <w:rPr>
          <w:rFonts w:ascii="Arial" w:cs="Arial" w:eastAsia="Arial" w:hAnsi="Arial"/>
          <w:sz w:val="14"/>
          <w:szCs w:val="14"/>
          <w:b w:val="1"/>
          <w:bCs w:val="1"/>
          <w:color w:val="auto"/>
        </w:rPr>
        <w:t>Vehicle-sourcing agent — “Where do I find the car I need?”</w:t>
      </w:r>
      <w:r>
        <w:rPr>
          <w:rFonts w:ascii="Arial" w:cs="Arial" w:eastAsia="Arial" w:hAnsi="Arial"/>
          <w:sz w:val="14"/>
          <w:szCs w:val="14"/>
          <w:color w:val="auto"/>
        </w:rPr>
        <w:t xml:space="preserve"> Every used car is a unique SKU, and customers often arrive with specific requirements or preferences. When a dealer has a customer seeking a particular vehicle, or needs to fill a gap in inventory, the agent searches the vehicles listed by dealers throughout our system, as well as the broader internet, to identify those that match on specification, condition and price, and surfaces the best options together with the dealers offering them. It draws on our vehicle database — more than 70 data points for each vehicle — and our matching algorithms, turning a search that once relied on phone calls and personal contacts into a data-powered query answered across the network. The dealer does not need to perform a “search” query as on a conventional search engine; instead, the dealer simply instructs the agent in natural language, as they would an employee, refining the requirements over several back-and-forth exchanges if needed.</w:t>
      </w:r>
    </w:p>
    <w:p>
      <w:pPr>
        <w:spacing w:after="0" w:line="74"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101"/>
        </w:numPr>
        <w:rPr>
          <w:rFonts w:ascii="Arial" w:cs="Arial" w:eastAsia="Arial" w:hAnsi="Arial"/>
          <w:sz w:val="11"/>
          <w:szCs w:val="11"/>
          <w:color w:val="auto"/>
        </w:rPr>
      </w:pPr>
      <w:r>
        <w:rPr>
          <w:rFonts w:ascii="Arial" w:cs="Arial" w:eastAsia="Arial" w:hAnsi="Arial"/>
          <w:sz w:val="14"/>
          <w:szCs w:val="14"/>
          <w:b w:val="1"/>
          <w:bCs w:val="1"/>
          <w:color w:val="auto"/>
        </w:rPr>
        <w:t xml:space="preserve">Valuation agent — “How much should I pay, and at what price will it resell?” </w:t>
      </w:r>
      <w:r>
        <w:rPr>
          <w:rFonts w:ascii="Arial" w:cs="Arial" w:eastAsia="Arial" w:hAnsi="Arial"/>
          <w:sz w:val="14"/>
          <w:szCs w:val="14"/>
          <w:color w:val="auto"/>
        </w:rPr>
        <w:t>For a</w:t>
      </w:r>
      <w:r>
        <w:rPr>
          <w:rFonts w:ascii="Arial" w:cs="Arial" w:eastAsia="Arial" w:hAnsi="Arial"/>
          <w:sz w:val="14"/>
          <w:szCs w:val="14"/>
          <w:b w:val="1"/>
          <w:bCs w:val="1"/>
          <w:color w:val="auto"/>
        </w:rPr>
        <w:t xml:space="preserve"> </w:t>
      </w:r>
      <w:r>
        <w:rPr>
          <w:rFonts w:ascii="Arial" w:cs="Arial" w:eastAsia="Arial" w:hAnsi="Arial"/>
          <w:sz w:val="14"/>
          <w:szCs w:val="14"/>
          <w:color w:val="auto"/>
        </w:rPr>
        <w:t>specific vehicle, the agent returns an acquisition-price range and a resale-price range, each adjusted for the vehicle’s condition, building on our price-discovering model and our transaction-level price records. It supports the dealer both at the point of purchase — what to offer to secure a healthy margin and a quick turnaround — and at the point of listing, when inventory must be priced for resale. Dealers usually use the valuation agent closely in conjunction with the market-intelligence agent to make these most critical decisions.</w:t>
      </w:r>
    </w:p>
    <w:p>
      <w:pPr>
        <w:spacing w:after="0" w:line="65" w:lineRule="exact"/>
        <w:rPr>
          <w:rFonts w:ascii="Arial" w:cs="Arial" w:eastAsia="Arial" w:hAnsi="Arial"/>
          <w:sz w:val="11"/>
          <w:szCs w:val="11"/>
          <w:color w:val="auto"/>
        </w:rPr>
      </w:pPr>
    </w:p>
    <w:p>
      <w:pPr>
        <w:jc w:val="both"/>
        <w:ind w:left="1800" w:right="1398" w:hanging="136"/>
        <w:spacing w:after="0" w:line="237" w:lineRule="auto"/>
        <w:tabs>
          <w:tab w:leader="none" w:pos="1804" w:val="left"/>
        </w:tabs>
        <w:numPr>
          <w:ilvl w:val="0"/>
          <w:numId w:val="101"/>
        </w:numPr>
        <w:rPr>
          <w:rFonts w:ascii="Arial" w:cs="Arial" w:eastAsia="Arial" w:hAnsi="Arial"/>
          <w:sz w:val="11"/>
          <w:szCs w:val="11"/>
          <w:color w:val="auto"/>
        </w:rPr>
      </w:pPr>
      <w:r>
        <w:rPr>
          <w:rFonts w:ascii="Arial" w:cs="Arial" w:eastAsia="Arial" w:hAnsi="Arial"/>
          <w:sz w:val="14"/>
          <w:szCs w:val="14"/>
          <w:b w:val="1"/>
          <w:bCs w:val="1"/>
          <w:color w:val="auto"/>
        </w:rPr>
        <w:t xml:space="preserve">Market-intelligence agent — “Will it sell quickly, or will I be stuck with it?” </w:t>
      </w:r>
      <w:r>
        <w:rPr>
          <w:rFonts w:ascii="Arial" w:cs="Arial" w:eastAsia="Arial" w:hAnsi="Arial"/>
          <w:sz w:val="14"/>
          <w:szCs w:val="14"/>
          <w:color w:val="auto"/>
        </w:rPr>
        <w:t>For a given</w:t>
      </w:r>
      <w:r>
        <w:rPr>
          <w:rFonts w:ascii="Arial" w:cs="Arial" w:eastAsia="Arial" w:hAnsi="Arial"/>
          <w:sz w:val="14"/>
          <w:szCs w:val="14"/>
          <w:b w:val="1"/>
          <w:bCs w:val="1"/>
          <w:color w:val="auto"/>
        </w:rPr>
        <w:t xml:space="preserve"> </w:t>
      </w:r>
      <w:r>
        <w:rPr>
          <w:rFonts w:ascii="Arial" w:cs="Arial" w:eastAsia="Arial" w:hAnsi="Arial"/>
          <w:sz w:val="14"/>
          <w:szCs w:val="14"/>
          <w:color w:val="auto"/>
        </w:rPr>
        <w:t>model in a market (usually defined by city) and time period that the dealer selects, the AI agent shows the comparable vehicles currently on the market, their inventory movements, recent transaction prices and the average number of days to sale — so the dealer can gauge how fast a vehicle is likely to turn and how its price is trending before committing capital to it. The agent can also compile market reports covering new-car reference prices and incentives, used-car price ranges, competing models and recent subsidy policy changes, retrieving public information from the general internet and combining it with our proprietary listing and transaction data.</w:t>
      </w:r>
    </w:p>
    <w:p>
      <w:pPr>
        <w:spacing w:after="0" w:line="63" w:lineRule="exact"/>
        <w:rPr>
          <w:rFonts w:ascii="Arial" w:cs="Arial" w:eastAsia="Arial" w:hAnsi="Arial"/>
          <w:sz w:val="11"/>
          <w:szCs w:val="11"/>
          <w:color w:val="auto"/>
        </w:rPr>
      </w:pPr>
    </w:p>
    <w:p>
      <w:pPr>
        <w:jc w:val="both"/>
        <w:ind w:left="1800" w:right="1398" w:hanging="136"/>
        <w:spacing w:after="0" w:line="239" w:lineRule="auto"/>
        <w:tabs>
          <w:tab w:leader="none" w:pos="1783" w:val="left"/>
        </w:tabs>
        <w:numPr>
          <w:ilvl w:val="0"/>
          <w:numId w:val="101"/>
        </w:numPr>
        <w:rPr>
          <w:rFonts w:ascii="Arial" w:cs="Arial" w:eastAsia="Arial" w:hAnsi="Arial"/>
          <w:sz w:val="11"/>
          <w:szCs w:val="11"/>
          <w:b w:val="1"/>
          <w:bCs w:val="1"/>
          <w:color w:val="auto"/>
        </w:rPr>
      </w:pPr>
      <w:r>
        <w:rPr>
          <w:rFonts w:ascii="Arial" w:cs="Arial" w:eastAsia="Arial" w:hAnsi="Arial"/>
          <w:sz w:val="14"/>
          <w:szCs w:val="14"/>
          <w:b w:val="1"/>
          <w:bCs w:val="1"/>
          <w:color w:val="auto"/>
        </w:rPr>
        <w:t xml:space="preserve">Operations diagnostics agent — “Where is my capital tied up, and what should I do about it?” </w:t>
      </w:r>
      <w:r>
        <w:rPr>
          <w:rFonts w:ascii="Arial" w:cs="Arial" w:eastAsia="Arial" w:hAnsi="Arial"/>
          <w:sz w:val="14"/>
          <w:szCs w:val="14"/>
          <w:color w:val="auto"/>
        </w:rPr>
        <w:t>The agent reviews a dealer’s entire operation as recorded on our</w:t>
      </w:r>
      <w:r>
        <w:rPr>
          <w:rFonts w:ascii="Arial" w:cs="Arial" w:eastAsia="Arial" w:hAnsi="Arial"/>
          <w:sz w:val="14"/>
          <w:szCs w:val="14"/>
          <w:b w:val="1"/>
          <w:bCs w:val="1"/>
          <w:color w:val="auto"/>
        </w:rPr>
        <w:t xml:space="preserve"> </w:t>
      </w:r>
      <w:r>
        <w:rPr>
          <w:rFonts w:ascii="Arial" w:cs="Arial" w:eastAsia="Arial" w:hAnsi="Arial"/>
          <w:sz w:val="14"/>
          <w:szCs w:val="14"/>
          <w:color w:val="auto"/>
        </w:rPr>
        <w:t>platform — inventory identified by VIN, how long each unit has been in stock, turnover, transaction count and value, gross margin, financing penetration rate, and customer leads and call-center performance — and returns a diagnosis with prioritized actions: which aged units to clear and by roughly how much,</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6" w:name="page217"/>
    <w:bookmarkEnd w:id="21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800" w:right="1398"/>
        <w:spacing w:after="0" w:line="241" w:lineRule="auto"/>
        <w:rPr>
          <w:sz w:val="20"/>
          <w:szCs w:val="20"/>
          <w:color w:val="auto"/>
        </w:rPr>
      </w:pPr>
      <w:r>
        <w:rPr>
          <w:rFonts w:ascii="Arial" w:cs="Arial" w:eastAsia="Arial" w:hAnsi="Arial"/>
          <w:sz w:val="14"/>
          <w:szCs w:val="14"/>
          <w:color w:val="auto"/>
        </w:rPr>
        <w:t>where inventory should be replenished, and how much capital is at risk in slow-moving stock. This is also where the agent informs one of a dealer’s hardest recurring choices — whether to hold out for a better price on a slow-moving vehicle or cut the price to free up capital — by quantifying how long the vehicle has sat, how the model is trending across the market, and what continuing to hold it is likely to cost.</w:t>
      </w:r>
    </w:p>
    <w:p>
      <w:pPr>
        <w:spacing w:after="0" w:line="63" w:lineRule="exact"/>
        <w:rPr>
          <w:sz w:val="20"/>
          <w:szCs w:val="20"/>
          <w:color w:val="auto"/>
        </w:rPr>
      </w:pPr>
    </w:p>
    <w:p>
      <w:pPr>
        <w:jc w:val="both"/>
        <w:ind w:left="1800" w:right="1398" w:hanging="136"/>
        <w:spacing w:after="0" w:line="238" w:lineRule="auto"/>
        <w:tabs>
          <w:tab w:leader="none" w:pos="1804" w:val="left"/>
        </w:tabs>
        <w:numPr>
          <w:ilvl w:val="0"/>
          <w:numId w:val="102"/>
        </w:numPr>
        <w:rPr>
          <w:rFonts w:ascii="Arial" w:cs="Arial" w:eastAsia="Arial" w:hAnsi="Arial"/>
          <w:sz w:val="11"/>
          <w:szCs w:val="11"/>
          <w:color w:val="auto"/>
        </w:rPr>
      </w:pPr>
      <w:r>
        <w:rPr>
          <w:rFonts w:ascii="Arial" w:cs="Arial" w:eastAsia="Arial" w:hAnsi="Arial"/>
          <w:sz w:val="14"/>
          <w:szCs w:val="14"/>
          <w:b w:val="1"/>
          <w:bCs w:val="1"/>
          <w:color w:val="auto"/>
        </w:rPr>
        <w:t xml:space="preserve">Marketing and content agent — “How do I bring the right buyers through the door?”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agent helps dealers reach buyers and capture leads on social and short-video channels — generating short-video scripts, campaign and promotional-event plans, analyzing livestream performance, and drafting and auto-replying to inbound inquiries. It can also automate parts of the prep work for a used car’s online listing, such as populating certain fields and upgrading a phone-captured photo to professional quality while preserving the accuracy of the image.</w:t>
      </w:r>
    </w:p>
    <w:p>
      <w:pPr>
        <w:spacing w:after="0" w:line="75" w:lineRule="exact"/>
        <w:rPr>
          <w:rFonts w:ascii="Arial" w:cs="Arial" w:eastAsia="Arial" w:hAnsi="Arial"/>
          <w:sz w:val="11"/>
          <w:szCs w:val="11"/>
          <w:color w:val="auto"/>
        </w:rPr>
      </w:pPr>
    </w:p>
    <w:p>
      <w:pPr>
        <w:jc w:val="both"/>
        <w:ind w:left="1800" w:right="1398" w:hanging="136"/>
        <w:spacing w:after="0" w:line="236" w:lineRule="auto"/>
        <w:tabs>
          <w:tab w:leader="none" w:pos="1804" w:val="left"/>
        </w:tabs>
        <w:numPr>
          <w:ilvl w:val="0"/>
          <w:numId w:val="102"/>
        </w:numPr>
        <w:rPr>
          <w:rFonts w:ascii="Arial" w:cs="Arial" w:eastAsia="Arial" w:hAnsi="Arial"/>
          <w:sz w:val="11"/>
          <w:szCs w:val="11"/>
          <w:color w:val="auto"/>
        </w:rPr>
      </w:pPr>
      <w:r>
        <w:rPr>
          <w:rFonts w:ascii="Arial" w:cs="Arial" w:eastAsia="Arial" w:hAnsi="Arial"/>
          <w:sz w:val="14"/>
          <w:szCs w:val="14"/>
          <w:b w:val="1"/>
          <w:bCs w:val="1"/>
          <w:color w:val="auto"/>
        </w:rPr>
        <w:t xml:space="preserve">Sales agent — “Cut the price to close this customer, or hold firm?” </w:t>
      </w:r>
      <w:r>
        <w:rPr>
          <w:rFonts w:ascii="Arial" w:cs="Arial" w:eastAsia="Arial" w:hAnsi="Arial"/>
          <w:sz w:val="14"/>
          <w:szCs w:val="14"/>
          <w:color w:val="auto"/>
        </w:rPr>
        <w:t>The agent functions</w:t>
      </w:r>
      <w:r>
        <w:rPr>
          <w:rFonts w:ascii="Arial" w:cs="Arial" w:eastAsia="Arial" w:hAnsi="Arial"/>
          <w:sz w:val="14"/>
          <w:szCs w:val="14"/>
          <w:b w:val="1"/>
          <w:bCs w:val="1"/>
          <w:color w:val="auto"/>
        </w:rPr>
        <w:t xml:space="preserve"> </w:t>
      </w:r>
      <w:r>
        <w:rPr>
          <w:rFonts w:ascii="Arial" w:cs="Arial" w:eastAsia="Arial" w:hAnsi="Arial"/>
          <w:sz w:val="14"/>
          <w:szCs w:val="14"/>
          <w:color w:val="auto"/>
        </w:rPr>
        <w:t>like an assistant to the salesperson: the agent listens in on the salesperson’s call with the prospective customer and produces a structured follow-up record — an intent rating, a concise summary, the customer’s sentiment, a compliance check and a recommended next step — and maintains a running history for each customer, with tiering and follow-up reminders. In its more advanced form, the agent transcribes the communications, extracts the customer’s needs and intent, updates the customer’s profile, and matches those needs against the dealer’s own inventory to suggest the most suitable vehicle to offer next. Combined with the market-intelligence and diagnostics agents, it gives the salesperson, in the heat of negotiation, the context to judge whether the price on the table is the right one and whether holding firm is likely to pay off.</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Our Collaboration with Third-Party Large-Model Providers</w:t>
      </w:r>
    </w:p>
    <w:p>
      <w:pPr>
        <w:spacing w:after="0" w:line="8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do not develop our own foundation models, nor do we modify the third-party foundation models we utilize as of the date of this prospectus. The AI agent features in our products are powered by large language models that we access from third parties based in China. For the risks associated with our use of AI and other technologies, see “Risk Factors — Risks Related to Our Business and Industry — We rely on certain third-party technology to complete critical business functions, and if that technology fails to adequately serve our needs and we cannot find alternatives, it may significantly impact our operating results.”</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access large language models and related cloud services we used most frequently pursuant to a negotiated framework service agreement. Material terms of such agreement are summarized below:</w:t>
      </w:r>
    </w:p>
    <w:p>
      <w:pPr>
        <w:spacing w:after="0" w:line="55" w:lineRule="exact"/>
        <w:rPr>
          <w:sz w:val="20"/>
          <w:szCs w:val="20"/>
          <w:color w:val="auto"/>
        </w:rPr>
      </w:pPr>
    </w:p>
    <w:p>
      <w:pPr>
        <w:ind w:left="1800" w:right="1398" w:hanging="136"/>
        <w:spacing w:after="0" w:line="271" w:lineRule="auto"/>
        <w:tabs>
          <w:tab w:leader="none" w:pos="1804" w:val="left"/>
        </w:tabs>
        <w:numPr>
          <w:ilvl w:val="0"/>
          <w:numId w:val="103"/>
        </w:numPr>
        <w:rPr>
          <w:rFonts w:ascii="Arial" w:cs="Arial" w:eastAsia="Arial" w:hAnsi="Arial"/>
          <w:sz w:val="11"/>
          <w:szCs w:val="11"/>
          <w:color w:val="auto"/>
        </w:rPr>
      </w:pPr>
      <w:r>
        <w:rPr>
          <w:rFonts w:ascii="Arial" w:cs="Arial" w:eastAsia="Arial" w:hAnsi="Arial"/>
          <w:sz w:val="14"/>
          <w:szCs w:val="14"/>
          <w:b w:val="1"/>
          <w:bCs w:val="1"/>
          <w:color w:val="auto"/>
        </w:rPr>
        <w:t xml:space="preserve">Term. </w:t>
      </w:r>
      <w:r>
        <w:rPr>
          <w:rFonts w:ascii="Arial" w:cs="Arial" w:eastAsia="Arial" w:hAnsi="Arial"/>
          <w:sz w:val="14"/>
          <w:szCs w:val="14"/>
          <w:color w:val="auto"/>
        </w:rPr>
        <w:t>The negotiated framework agreement has a multi-year term, renewable by negotiation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within one month before expiration.</w:t>
      </w:r>
    </w:p>
    <w:p>
      <w:pPr>
        <w:spacing w:after="0" w:line="41"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03"/>
        </w:numPr>
        <w:rPr>
          <w:rFonts w:ascii="Arial" w:cs="Arial" w:eastAsia="Arial" w:hAnsi="Arial"/>
          <w:sz w:val="11"/>
          <w:szCs w:val="11"/>
          <w:color w:val="auto"/>
        </w:rPr>
      </w:pPr>
      <w:r>
        <w:rPr>
          <w:rFonts w:ascii="Arial" w:cs="Arial" w:eastAsia="Arial" w:hAnsi="Arial"/>
          <w:sz w:val="14"/>
          <w:szCs w:val="14"/>
          <w:b w:val="1"/>
          <w:bCs w:val="1"/>
          <w:color w:val="auto"/>
        </w:rPr>
        <w:t xml:space="preserve">Services and Use. </w:t>
      </w:r>
      <w:r>
        <w:rPr>
          <w:rFonts w:ascii="Arial" w:cs="Arial" w:eastAsia="Arial" w:hAnsi="Arial"/>
          <w:sz w:val="14"/>
          <w:szCs w:val="14"/>
          <w:color w:val="auto"/>
        </w:rPr>
        <w:t>The provider makes its large language model and cloud services</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for our own internal use. We may not resell or transfer them to any third party without its prior written consent and are jointly and severally liable for any permitted third-party use.</w:t>
      </w:r>
    </w:p>
    <w:p>
      <w:pPr>
        <w:spacing w:after="0" w:line="6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03"/>
        </w:numPr>
        <w:rPr>
          <w:rFonts w:ascii="Arial" w:cs="Arial" w:eastAsia="Arial" w:hAnsi="Arial"/>
          <w:sz w:val="11"/>
          <w:szCs w:val="11"/>
          <w:color w:val="auto"/>
        </w:rPr>
      </w:pPr>
      <w:r>
        <w:rPr>
          <w:rFonts w:ascii="Arial" w:cs="Arial" w:eastAsia="Arial" w:hAnsi="Arial"/>
          <w:sz w:val="14"/>
          <w:szCs w:val="14"/>
          <w:b w:val="1"/>
          <w:bCs w:val="1"/>
          <w:color w:val="auto"/>
        </w:rPr>
        <w:t xml:space="preserve">Fees. </w:t>
      </w:r>
      <w:r>
        <w:rPr>
          <w:rFonts w:ascii="Arial" w:cs="Arial" w:eastAsia="Arial" w:hAnsi="Arial"/>
          <w:sz w:val="14"/>
          <w:szCs w:val="14"/>
          <w:color w:val="auto"/>
        </w:rPr>
        <w:t>Usage-based, at the provider’s catalog prices as discounted under the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negotiated discounts may be changed only by a signed amendment and apply prospectively, although published list prices may change and apply automatically.</w:t>
      </w:r>
    </w:p>
    <w:p>
      <w:pPr>
        <w:spacing w:after="0" w:line="5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03"/>
        </w:numPr>
        <w:rPr>
          <w:rFonts w:ascii="Arial" w:cs="Arial" w:eastAsia="Arial" w:hAnsi="Arial"/>
          <w:sz w:val="11"/>
          <w:szCs w:val="11"/>
          <w:color w:val="auto"/>
        </w:rPr>
      </w:pPr>
      <w:r>
        <w:rPr>
          <w:rFonts w:ascii="Arial" w:cs="Arial" w:eastAsia="Arial" w:hAnsi="Arial"/>
          <w:sz w:val="14"/>
          <w:szCs w:val="14"/>
          <w:b w:val="1"/>
          <w:bCs w:val="1"/>
          <w:color w:val="auto"/>
        </w:rPr>
        <w:t xml:space="preserve">Compliance. </w:t>
      </w:r>
      <w:r>
        <w:rPr>
          <w:rFonts w:ascii="Arial" w:cs="Arial" w:eastAsia="Arial" w:hAnsi="Arial"/>
          <w:sz w:val="14"/>
          <w:szCs w:val="14"/>
          <w:color w:val="auto"/>
        </w:rPr>
        <w:t>We must comply with applicable export-control and sanctions laws; with anti-bribery and anti-corruption laws; and with antitrust laws, refraining from disparaging or misleading advertising and respecting the provider’s patents, trademarks and trade secrets.</w:t>
      </w:r>
    </w:p>
    <w:p>
      <w:pPr>
        <w:spacing w:after="0" w:line="5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03"/>
        </w:numPr>
        <w:rPr>
          <w:rFonts w:ascii="Arial" w:cs="Arial" w:eastAsia="Arial" w:hAnsi="Arial"/>
          <w:sz w:val="11"/>
          <w:szCs w:val="11"/>
          <w:color w:val="auto"/>
        </w:rPr>
      </w:pPr>
      <w:r>
        <w:rPr>
          <w:rFonts w:ascii="Arial" w:cs="Arial" w:eastAsia="Arial" w:hAnsi="Arial"/>
          <w:sz w:val="14"/>
          <w:szCs w:val="14"/>
          <w:b w:val="1"/>
          <w:bCs w:val="1"/>
          <w:color w:val="auto"/>
        </w:rPr>
        <w:t xml:space="preserve">Availability and Liability. </w:t>
      </w:r>
      <w:r>
        <w:rPr>
          <w:rFonts w:ascii="Arial" w:cs="Arial" w:eastAsia="Arial" w:hAnsi="Arial"/>
          <w:sz w:val="14"/>
          <w:szCs w:val="14"/>
          <w:color w:val="auto"/>
        </w:rPr>
        <w:t>The provider generally gives no uptime commitment,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maintenance and internet congestion are not breaches; where downtime is its fault, our remedy is generally limited to the applicable online service level agreement.</w:t>
      </w:r>
    </w:p>
    <w:p>
      <w:pPr>
        <w:spacing w:after="0" w:line="65" w:lineRule="exact"/>
        <w:rPr>
          <w:rFonts w:ascii="Arial" w:cs="Arial" w:eastAsia="Arial" w:hAnsi="Arial"/>
          <w:sz w:val="11"/>
          <w:szCs w:val="11"/>
          <w:color w:val="auto"/>
        </w:rPr>
      </w:pPr>
    </w:p>
    <w:p>
      <w:pPr>
        <w:jc w:val="both"/>
        <w:ind w:left="1800" w:right="1398" w:hanging="136"/>
        <w:spacing w:after="0" w:line="251" w:lineRule="auto"/>
        <w:tabs>
          <w:tab w:leader="none" w:pos="1783" w:val="left"/>
        </w:tabs>
        <w:numPr>
          <w:ilvl w:val="0"/>
          <w:numId w:val="103"/>
        </w:numPr>
        <w:rPr>
          <w:rFonts w:ascii="Arial" w:cs="Arial" w:eastAsia="Arial" w:hAnsi="Arial"/>
          <w:sz w:val="11"/>
          <w:szCs w:val="11"/>
          <w:b w:val="1"/>
          <w:bCs w:val="1"/>
          <w:color w:val="auto"/>
        </w:rPr>
      </w:pPr>
      <w:r>
        <w:rPr>
          <w:rFonts w:ascii="Arial" w:cs="Arial" w:eastAsia="Arial" w:hAnsi="Arial"/>
          <w:sz w:val="14"/>
          <w:szCs w:val="14"/>
          <w:b w:val="1"/>
          <w:bCs w:val="1"/>
          <w:color w:val="auto"/>
        </w:rPr>
        <w:t xml:space="preserve">Termination. </w:t>
      </w:r>
      <w:r>
        <w:rPr>
          <w:rFonts w:ascii="Arial" w:cs="Arial" w:eastAsia="Arial" w:hAnsi="Arial"/>
          <w:sz w:val="14"/>
          <w:szCs w:val="14"/>
          <w:color w:val="auto"/>
        </w:rPr>
        <w:t>The provider may suspend or terminate for our breach or abnormal use, and</w:t>
      </w:r>
      <w:r>
        <w:rPr>
          <w:rFonts w:ascii="Arial" w:cs="Arial" w:eastAsia="Arial" w:hAnsi="Arial"/>
          <w:sz w:val="14"/>
          <w:szCs w:val="14"/>
          <w:b w:val="1"/>
          <w:bCs w:val="1"/>
          <w:color w:val="auto"/>
        </w:rPr>
        <w:t xml:space="preserve"> </w:t>
      </w:r>
      <w:r>
        <w:rPr>
          <w:rFonts w:ascii="Arial" w:cs="Arial" w:eastAsia="Arial" w:hAnsi="Arial"/>
          <w:sz w:val="14"/>
          <w:szCs w:val="14"/>
          <w:color w:val="auto"/>
        </w:rPr>
        <w:t>either party may terminate after 60 days of force majeure if the parties fail to agree on terms for continued performance within 30 days of commencing negotiations.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7" w:name="page218"/>
    <w:bookmarkEnd w:id="21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agreement incorporates by reference the provider standard online user, product service and privacy agreements, including the applicable platform terms that govern data and the ownership and use of model outputs, and contains other customary terms and conditions.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access additional large language models under the applicable standard-form online terms of service, which are not individually negotiated. These terms prohibit the user from building another large model off the relevant large language models, or transferring any fine-tuned version of the relevant large language models overseas, or executing tasks across different applications without the models’ written consent in advance. The terms also contain generally disclaim warranties, limit liability to a small percentage of the contract amount and provide for PRC law and PRC courts. The terms run for a fixed period that may not be terminated early without cause and may be amended only in writing.</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Sales and Marketing</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sales and marketing efforts differ depending on the market acceptance stage of our service offerings and the nature of our customers.</w:t>
      </w:r>
    </w:p>
    <w:p>
      <w:pPr>
        <w:spacing w:after="0" w:line="4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For service offerings for which we have achieved a towering market share and are widely recognized and favored in the industry, such as digitalization solutions for used car dealers and new car brokers, we attract new users primarily through word-of-mouth referrals.</w:t>
      </w:r>
    </w:p>
    <w:p>
      <w:pPr>
        <w:spacing w:after="0" w:line="5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 service offerings we recently introduced to the market, such as many of our transaction services to used car dealers, we invest in business development efforts through a team of marketing personnel. Once we move beyond the early phase of these transaction services, we expect to reduce our marketing efforts and rely more on the synergistic support from our digital infrastructure.</w:t>
      </w:r>
    </w:p>
    <w:p>
      <w:pPr>
        <w:spacing w:after="0" w:line="6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utilize business development personnel to promote services to OEMs as these services are generally large in volume and amount, and our engagements are generally contract based.</w:t>
      </w:r>
    </w:p>
    <w:p>
      <w:pPr>
        <w:spacing w:after="0" w:line="8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Competition</w:t>
      </w:r>
    </w:p>
    <w:p>
      <w:pPr>
        <w:spacing w:after="0" w:line="8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operate in a quickly evolving and highly competitive market, and we expect competition to intensify in the future. We believe the principal competitive factors in our market are:</w:t>
      </w:r>
    </w:p>
    <w:p>
      <w:pPr>
        <w:spacing w:after="0" w:line="51" w:lineRule="exact"/>
        <w:rPr>
          <w:sz w:val="20"/>
          <w:szCs w:val="20"/>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Collaboration network among auto merchants</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Internal work flow for each auto merchant</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Lack of conflict of interest with auto merchants</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Pricing of service offerings</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Data ownership</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Industry reputation and trustworthiness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believe we compete favorably against our current and future competitors on these factors.</w:t>
      </w:r>
    </w:p>
    <w:p>
      <w:pPr>
        <w:spacing w:after="0" w:line="8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are the leading provider of digitalization solutions to SME car dealers in China. Even though some competitors may offer products that overlap with certain functions and features of our service offerings, we do not believe that any competitor offers digital solutions and transaction services with comparable scale and functionalities to ours. Our competitors primarily include other providers of transaction services for car dealers and OEMs, most of whom operate on small scales in local markets. For more information about the market in which we operate, see “Industry.”</w:t>
      </w:r>
    </w:p>
    <w:p>
      <w:pPr>
        <w:spacing w:after="0" w:line="10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Environmental, Social and Governance (ESG) Initiatives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recognize the importance of environmental, social and governance (ESG) factors in driving sustainable growth and creating long-term value for our stakeholders. Therefore, we strive to continuously guide our operations and initiatives with principles of sustainable development.</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8" w:name="page219"/>
    <w:bookmarkEnd w:id="21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Environmental sustainability is a key focus of our ESG strategy. As a pioneer in driving the digital transformation of auto commerce in China, the nature of our services is inherently environmentally friendly. For example, our digitalization solutions significantly reduce the need for paper documentation, thereby reducing the environmental impact associated with paper production and disposal. Operating digitally typically consumes less energy compared to traditional manual processes, contributing to lower energy consumption and a smaller carbon footprint. By streamlining car dealers’ operations, we can help optimize vehicle inventory management, reducing the need for excessive transport or storage of vehicles, which can contribute to lower greenhouse gas emissions. We are also committed to minimizing our environmental impact by reducing our carbon footprint, conserving natural resources, and promoting sustainable practices throughout our business operations. To achieve these goals, we have implemented a range of initiatives, such as reducing paper usage, optimizing our logistics operations, and using energy-efficient technology.</w:t>
      </w:r>
    </w:p>
    <w:p>
      <w:pPr>
        <w:spacing w:after="0" w:line="90"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also prioritize social responsibility and strive to make a positive impact on the communities in which we operate. We help car dealers across China, most of which are SMEs, increase their earnings potential by connecting them with car sources and buyers across the country in a cost-efficient manner. Our platform also promotes a healthy community of auto commerce in China with rules to protect the interests of honest market players. We believe in creating a diverse and inclusive workplace that fosters innovation and creativity. We support our employees by providing them with training and development opportunities, as well as ensuring their health and safety in the workplace.</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are committed to maintaining high standards of corporate governance and ethical conduct. We believe that transparent and accountable governance practices are essential to building trust with our stakeholders and ensuring the long-term success of our business. To this end, we have established policies and procedures to ensure compliance with relevant laws and regulations, as well as to promote ethical behavior and integrity throughout our organization.</w:t>
      </w:r>
    </w:p>
    <w:p>
      <w:pPr>
        <w:spacing w:after="0" w:line="8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recognize the impact of the COVID-19 pandemic on individuals, communities, and businesses worldwide and are committed to supporting the relief efforts to combat the pandemic and help those affected by it. We have made financial donations to local hospitals and medical institutions. We have also donated medical supplies, including masks, gloves and other personal protective equipment, to these organizations to support their efforts in combating the pandemic. In addition, as part of our initiatives to support the COVID-19 relief campaign, we offered more flexible payment terms to some of our customers and suppliers to help alleviate their cash flow problems that may have arisen due to the pandemic.</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Intellectual Property</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Our intellectual property mainly consists of approximately 249 trademarks relating to our main brands and services as of the date of this prospectus. These intellectual property rights are registered in China. Under the PRC laws, such registrations are valid for ten years from the date of filing the application, and are renewable for additional periods of ten years.</w:t>
      </w:r>
    </w:p>
    <w:p>
      <w:pPr>
        <w:spacing w:after="0" w:line="6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regard our trademarks, copyrights, domain names, trade secrets and other intellectual property rights as critical to our business. We rely on a combination of copyright and trademark law, trade secret protection and confidentiality agreements with our employees, business partners and others, to protect our intellectual property rights. In particular, we protect our intellectual properties, including trademarks for our brand names and patents, primarily through the following measures:</w:t>
      </w:r>
    </w:p>
    <w:p>
      <w:pPr>
        <w:spacing w:after="0" w:line="1" w:lineRule="exact"/>
        <w:rPr>
          <w:sz w:val="20"/>
          <w:szCs w:val="20"/>
          <w:color w:val="auto"/>
        </w:rPr>
      </w:pPr>
    </w:p>
    <w:p>
      <w:pPr>
        <w:jc w:val="both"/>
        <w:ind w:left="1420" w:right="1398" w:hanging="5"/>
        <w:spacing w:after="0" w:line="236" w:lineRule="auto"/>
        <w:tabs>
          <w:tab w:leader="none" w:pos="163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we timely apply for registration of trademarks and patents for our brand and products in jurisdictions where we operate as well as in other targeted markets, and (ii) we continuously monitor third parties’ infringements of our intellectual property rights, including our brand names, trademarks and patents, and file claims with market regulation authorities and bring intellectual property infringement lawsuits to protect our rights.</w:t>
      </w:r>
    </w:p>
    <w:p>
      <w:pPr>
        <w:spacing w:after="0" w:line="11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19" w:name="page220"/>
    <w:bookmarkEnd w:id="21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intellectual property is subject to risks of theft and other unauthorized use, and our ability to protect our intellectual property from unauthorized use is limited. In addition, we may be subject to claims that we have infringed the intellectual property rights of others. See “Risk Factors — Risks Related to Our Business and Industry — We may be unable to adequately protect, and may incur significant costs in defending, our intellectual property and other proprietary rights, which could negatively impact on our business.”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Employees</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had a total of 1,280 employees as of December 31, 2025. All our employees are based in China.</w:t>
      </w:r>
    </w:p>
    <w:p>
      <w:pPr>
        <w:spacing w:after="0" w:line="62"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sets forth the numbers of our employees categorized by function as of December 31, 2025.</w:t>
      </w:r>
    </w:p>
    <w:p>
      <w:pPr>
        <w:spacing w:after="0" w:line="89"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140"/>
              <w:spacing w:after="0"/>
              <w:rPr>
                <w:sz w:val="20"/>
                <w:szCs w:val="20"/>
                <w:color w:val="auto"/>
              </w:rPr>
            </w:pPr>
            <w:r>
              <w:rPr>
                <w:rFonts w:ascii="Arial" w:cs="Arial" w:eastAsia="Arial" w:hAnsi="Arial"/>
                <w:sz w:val="11"/>
                <w:szCs w:val="11"/>
                <w:b w:val="1"/>
                <w:bCs w:val="1"/>
                <w:color w:val="auto"/>
              </w:rPr>
              <w:t>Number of</w:t>
            </w:r>
          </w:p>
        </w:tc>
      </w:tr>
      <w:tr>
        <w:trPr>
          <w:trHeight w:val="160"/>
        </w:trPr>
        <w:tc>
          <w:tcPr>
            <w:tcW w:w="5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Function</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Employees</w:t>
            </w:r>
          </w:p>
        </w:tc>
      </w:tr>
      <w:tr>
        <w:trPr>
          <w:trHeight w:val="204"/>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General Administration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09"/>
        </w:trPr>
        <w:tc>
          <w:tcPr>
            <w:tcW w:w="518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255</w:t>
            </w:r>
          </w:p>
        </w:tc>
      </w:tr>
      <w:tr>
        <w:trPr>
          <w:trHeight w:val="227"/>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214"/>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Operational Administration</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r>
      <w:tr>
        <w:trPr>
          <w:trHeight w:val="191"/>
        </w:trPr>
        <w:tc>
          <w:tcPr>
            <w:tcW w:w="5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1,280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recruit and directly train and manage all our employees. We believe that we maintain a good working relationship with our employees, and we have not experienced any significant labor disputes. Our employees have not entered into any collective bargaining agreements.</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Insurance</w:t>
      </w:r>
    </w:p>
    <w:p>
      <w:pPr>
        <w:spacing w:after="0" w:line="10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We believe that we are covered by adequate property and liability insurance policies with coverage features and insured limits we believe are customary for similar companies in China. If we were held liable for amounts and claims exceeding the limits of our insurance coverage or outside the scope of our insurance coverage, our business, results of operations and financial condition may be materially and adversely affected. See “Risk Factors — Risks Related to Our Business and Industry — Our insurance may not provide adequate levels of coverage against claims.”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Properties</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maintain a number of leased properties. As of December 31, 2025, we leased approximately 3,437.3 square meters of office space in Beijing, 180 square meters of office space in Shanghai,</w:t>
      </w:r>
    </w:p>
    <w:p>
      <w:pPr>
        <w:spacing w:after="0" w:line="1" w:lineRule="exact"/>
        <w:rPr>
          <w:sz w:val="20"/>
          <w:szCs w:val="20"/>
          <w:color w:val="auto"/>
        </w:rPr>
      </w:pPr>
    </w:p>
    <w:p>
      <w:pPr>
        <w:jc w:val="both"/>
        <w:ind w:left="1420" w:right="1398"/>
        <w:spacing w:after="0" w:line="236" w:lineRule="auto"/>
        <w:rPr>
          <w:sz w:val="20"/>
          <w:szCs w:val="20"/>
          <w:color w:val="auto"/>
        </w:rPr>
      </w:pPr>
      <w:r>
        <w:rPr>
          <w:rFonts w:ascii="Arial" w:cs="Arial" w:eastAsia="Arial" w:hAnsi="Arial"/>
          <w:sz w:val="14"/>
          <w:szCs w:val="14"/>
          <w:color w:val="auto"/>
        </w:rPr>
        <w:t>5,738.4 square meters of office space in Hangzhou, Zhejiang Province, 99.0 square meters of office space in Guangzhou, Guangdong Province and 320.3 square meters of office space in Changzhou, Jiangsu Province, primarily for corporate administration and research and development. In addition, we leased 258,507 square meters of warehouses located in 91 cities across the country to operate our delivery services as of December 31, 2025.</w:t>
      </w:r>
    </w:p>
    <w:p>
      <w:pPr>
        <w:spacing w:after="0" w:line="7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intend to add new properties or expand our existing properties as we scale up our business operation. We believe that suitable additional or alternative space will be available in the future on commercially reasonable terms to accommodate our foreseeable future expansion.</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Legal Proceedings</w:t>
      </w:r>
    </w:p>
    <w:p>
      <w:pPr>
        <w:spacing w:after="0" w:line="10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the ordinary course of our business, we are subject to legal or administrative proceedings from time to time. We do not believe that any currently pending legal or administrative proceeding to which we are a party will have a material adverse effect on our business, financial condition or results of operations. See “Risk Factors — Risks Related to Our Business and Industry — We, and our directors and officers, may be involved in legal and/or regulatory proceedings that are expensive and time consuming and, if resolved adversely, that may materially adversely affect us.”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0" w:name="page221"/>
    <w:bookmarkEnd w:id="22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REGULATION</w:t>
      </w:r>
    </w:p>
    <w:p>
      <w:pPr>
        <w:spacing w:after="0" w:line="100" w:lineRule="exact"/>
        <w:rPr>
          <w:sz w:val="20"/>
          <w:szCs w:val="20"/>
          <w:color w:val="auto"/>
        </w:rPr>
      </w:pPr>
    </w:p>
    <w:p>
      <w:pPr>
        <w:jc w:val="both"/>
        <w:ind w:left="1420" w:right="1398" w:firstLine="249"/>
        <w:spacing w:after="0" w:line="268" w:lineRule="auto"/>
        <w:rPr>
          <w:sz w:val="20"/>
          <w:szCs w:val="20"/>
          <w:color w:val="auto"/>
        </w:rPr>
      </w:pPr>
      <w:r>
        <w:rPr>
          <w:rFonts w:ascii="Arial" w:cs="Arial" w:eastAsia="Arial" w:hAnsi="Arial"/>
          <w:sz w:val="14"/>
          <w:szCs w:val="14"/>
          <w:i w:val="1"/>
          <w:iCs w:val="1"/>
          <w:color w:val="auto"/>
        </w:rPr>
        <w:t>This section sets forth a summary of the most significant PRC laws and regulations relevant to our business and operations in the PRC and the key provisions of such laws and regulations.</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Foreign Investment</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March 15, 2019, the NPC approved the Foreign Investment Law and on December 26, 2019, the State Council published the Implementation Rules of the Foreign Investment Law, both of which went into effect on January 1, 2020 and replaced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spacing w:after="0" w:line="7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According to the Foreign Investment Law,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spacing w:after="0" w:line="7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According to the Foreign Investment Law, the State Council shall publish or approve to publish a negative list stipulating the special management measures for the access of foreign investment in certain industries, or the “negative list.” The Foreign Investment Law grants national treatment to foreign-invested entities, except for those foreign-invested entities that operate in industries deemed to be either “restricted” or “prohibited” in the “negative list.” The Foreign Investment Law provides that foreign investors shall not invest in the “prohibited” industries, and shall meet certain conditions stipulated under the “negative list” for making investment in “restricted” industries. The currently effective “negative list” is the Special Management Measures (Negative List) for the Access of Foreign Investment (2024 version), or the 2024 Negative List, jointly published by the National Development and Reform Committee, or NDRC and the MOFCOM on September 6, 2024 and went into effect on November 1, 2024.</w:t>
      </w:r>
    </w:p>
    <w:p>
      <w:pPr>
        <w:spacing w:after="0" w:line="7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On December 26, 2019, the Supreme People’s Court published the Interpretation of the Supreme People’s Court on Several Issues concerning the Application of the Foreign Investment Law of the People’s Republic of China, which went into effect on January 1, 2020, pursuant to which the court shall rule in favor of the party claim the invalidity of the investment agreement with respect to foreign investment in the “restricted” industry under the “negative list” or foreign investment in the “restricted” industry under the “negative list” that fails to comply with the requirements unless necessary mitigating measures are taken before the ruling.</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1" w:name="page222"/>
    <w:bookmarkEnd w:id="22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On December 30, 2019, the MOFCOM and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7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 xml:space="preserve">On December 19, 2020, the NDRC and the MOFCOM jointly promulgated the Measures for the Security Review of Foreign Investment, which became effective on January 18, 2021, the NDRC and the MOFCOM will establish a working mechanism office in charge of the security review of foreign investment. Such measures define foreign investment as direct or indirect investment by foreign investors in the PRC, which includes (i) investment in new onshore projects or establishment of wholly foreign owned onshore companies or joint ventures with foreign investors; (ii) acquisition of equity or asset of onshore companies by merger and acquisition; and (iii) onshore investment by and through any other means.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w:t>
      </w:r>
      <w:r>
        <w:rPr>
          <w:rFonts w:ascii="Arial" w:cs="Arial" w:eastAsia="Arial" w:hAnsi="Arial"/>
          <w:sz w:val="14"/>
          <w:szCs w:val="14"/>
          <w:i w:val="1"/>
          <w:iCs w:val="1"/>
          <w:color w:val="auto"/>
        </w:rPr>
        <w:t>de facto</w:t>
      </w:r>
      <w:r>
        <w:rPr>
          <w:rFonts w:ascii="Arial" w:cs="Arial" w:eastAsia="Arial" w:hAnsi="Arial"/>
          <w:sz w:val="14"/>
          <w:szCs w:val="14"/>
          <w:color w:val="auto"/>
        </w:rPr>
        <w:t xml:space="preserve"> control of investee companies, shall be filed with a specifically established office before such investment is carried out. What may constitute “onshore investment by and through any other means” or “ASC Topic 326” could be broadly interpreted under such measures. It is likely that control through contractual arrangement be regarded as </w:t>
      </w:r>
      <w:r>
        <w:rPr>
          <w:rFonts w:ascii="Arial" w:cs="Arial" w:eastAsia="Arial" w:hAnsi="Arial"/>
          <w:sz w:val="14"/>
          <w:szCs w:val="14"/>
          <w:i w:val="1"/>
          <w:iCs w:val="1"/>
          <w:color w:val="auto"/>
        </w:rPr>
        <w:t>de facto</w:t>
      </w:r>
      <w:r>
        <w:rPr>
          <w:rFonts w:ascii="Arial" w:cs="Arial" w:eastAsia="Arial" w:hAnsi="Arial"/>
          <w:sz w:val="14"/>
          <w:szCs w:val="14"/>
          <w:color w:val="auto"/>
        </w:rPr>
        <w:t xml:space="preserve">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relevant national credit information system, which would then subject such investors to joint punishment as provided by relevant rules.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Value-added Telecommunications Services</w:t>
      </w:r>
    </w:p>
    <w:p>
      <w:pPr>
        <w:spacing w:after="0" w:line="109"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On September 25, 2000, the State Council issued the Regulations on Telecommunications of the PRC, or the Telecommunications Regulations, as last amended on February 6, 2016, to regulate telecommunications activities in China. The Telecommunications Regulations divided the telecommunications services into two categories, namely “infrastructure telecommunications services” and “value-added telecommunications services.” Pursuant to the Telecommunications Regulations, operators of value-added telecommunications services, or VATS, must first obtain a Value-added Telecommunications Business Operating License, or VATS License, from the Ministry of Industry and Information Technology, or the MIIT, or its provincial level counterparts. On July 3, 2017, the MIIT promulgated the Administrative Measures on Telecommunications Business Permits, which set forth more specific provisions regarding the types of licenses required to operate VATS, the qualifications and procedures for obtaining such licenses and the administration and supervision of such licenses. The Classified Catalog of Telecommunications Services (2015 Version), or the 2016 MIIT Catalog, which took effect on March 1, 2016, and amended on June 6, 2019, identifies Internet information services and online data processing and transaction processing as sub-categories of VATS.</w:t>
      </w:r>
    </w:p>
    <w:p>
      <w:pPr>
        <w:spacing w:after="0" w:line="7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Foreign direct investment in telecommunications companies in China is regulated by the Administrative Provisions on Foreign-Invested Telecommunications Enterprises, or the FITE Regulation, which was issued by the State Council on December 11, 2001, last amended in March 2022 and became effective on May 1, 2022. The FITE Regulation stipulates that a foreign-invested</w:t>
      </w:r>
    </w:p>
    <w:p>
      <w:pPr>
        <w:spacing w:after="0" w:line="26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2" w:name="page223"/>
    <w:bookmarkEnd w:id="22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4" w:lineRule="auto"/>
        <w:rPr>
          <w:sz w:val="20"/>
          <w:szCs w:val="20"/>
          <w:color w:val="auto"/>
        </w:rPr>
      </w:pPr>
      <w:r>
        <w:rPr>
          <w:rFonts w:ascii="Arial" w:cs="Arial" w:eastAsia="Arial" w:hAnsi="Arial"/>
          <w:sz w:val="14"/>
          <w:szCs w:val="14"/>
          <w:color w:val="auto"/>
        </w:rPr>
        <w:t>telecommunications enterprise in the PRC, or the FITE, must be established as a sino-foreign equity joint venture for operations in the PRC. Under the FITE Regulation, subject to WTO-related agreements, the foreign party investing in a FITE engaging in VATS may hold up to 50% of the ultimate equity interests of the FITE. Furthermore, the foreign party investing in e-commerce business, as a type of value-added telecommunications services (falling in the sub-category of online data processing and transaction processing), has been allowed to hold up to 100% of the equity interests of the FITE based on the Circular of the Ministry of Industry and Information Technology on Removing the Restrictions on Shareholding Ratio Held by Foreign Investors in Online Data Processing and Transaction Processing (Operating E-commerce) Business issued on June 19, 2015 and the Negative List. In addition to the Telecommunications Regulations and the other regulations discussed above, the provision of commercial internet information services on mobile internet applications is regulated by the Administrative Provisions on Mobile Internet Applications Information Services, which was promulgated by Cyberspace Administration of China on June 28, 2016 and came into effect on August 1, 2016 amended in June 2022 and became effective on August 1, 2022. The providers of mobile internet applications are subject to requirements under these provisions, including acquiring the qualifications and complying with other requirements provided by laws and regulations and being responsible for information security.</w:t>
      </w:r>
    </w:p>
    <w:p>
      <w:pPr>
        <w:spacing w:after="0" w:line="9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December 31, 2021, the CAC and other relevant regulatory authorities jointly promulgated the Administrative Provisions on Internet Information Service Algorithm Recommendation, which became effective on March 1, 2022. The Administrative Provisions on Internet Information Service Algorithm Recommendation stipulates that algorithm recommendation service providers with public opinion attributes or social mobilization capabilities shall submit the relevant information for filing, provide users with options either to adjust algorithmic recommendation services not to target on their personal characteristics or to conveniently shut down algorithmic recommendation services, and shall not set up algorithm models against any applicable laws, regulations and social norms.</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Used Automobile Trading</w:t>
      </w:r>
    </w:p>
    <w:p>
      <w:pPr>
        <w:spacing w:after="0" w:line="10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August 29, 2005, the State Administration of Tax, or SAT, SAIC, the MOFCOM and the Ministry of Public Security, or the MPS, jointly promulgated the Measures for the Administration of the Trading of Used Automobiles, or the Used Automobile Trading Measures, which became effective on October 1, 2005 and further revised on September 14, 2017. Pursuant to the Used Automobile Trading Measures, (i) only an enterprise legal person duly registered with the SAIC or its local branches may engage in used automobile trading as an operator of used automobiles markets, as a retailer, or as a brokerage entity; (ii) the operator of used automobiles markets and the operational subject of used automobiles shall file with the provincial departments of commerce within two months after obtaining the business license and (iii) the establishment of an auction enterprise of used automobiles shall comply with the relevant provisions of the Auction Law of PRC and the Measures for the Administration of Auction.</w:t>
      </w:r>
    </w:p>
    <w:p>
      <w:pPr>
        <w:spacing w:after="0" w:line="7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Under the Used Automobile Trading Measures, a seller of used automobiles must verify certain background information regarding the automobiles for sale. Used automobile retailers shall also provide quality guarantees as well as after -sales services. Used automobiles are prohibited from being resold under certain circumstances such as where such used automobiles have been discarded or required to be discarded, or obtained by illegal means, such as theft, robbery or fraud. On March 24, 2006, the MOFCOM promulgated the Specifications for Used Automobile Trade with immediate effect, which set forth detailed criteria and requirements for the purchase, sale, auction, evaluation, trading and post-sale services of used automobiles.</w:t>
      </w:r>
    </w:p>
    <w:p>
      <w:pPr>
        <w:spacing w:after="0" w:line="8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On June 8, 2016, the General Offices of 11 Departments including the MOFCOM promulgated the Circular on Facilitating the Trading of Used Automobile and Accelerating the Activation of Used Automobile Market with immediate effect, for the purpose of effectively implementing Several Opinions of the State Council on Facilitating the Trading of Used Automobile which promulgated on March 14, 2016 by the State Council with immediate effect, which set forth the measures to accelerate and facilitate the off-site trading, taxation and registration of used automobiles.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3" w:name="page224"/>
    <w:bookmarkEnd w:id="22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On April 7, 2021, the MOFCOM, the MPS and the SAT promulgated the Circular on Facilitating the Trans-provincial Registration of Used Automobiles Transactions and the Cross-regional Transactions of Used Automobiles, which lifted the restriction on the location of registration of the small-sized non-operational passenger vehicles transactions and further stipulates the requirements of record keeping and verification of the used automobiles information.</w:t>
      </w:r>
    </w:p>
    <w:p>
      <w:pPr>
        <w:spacing w:after="0" w:line="8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On January 18, 2022, the General Offices of seven Departments including the NDRC promulgated the Implementation Plan for Promoting Green Consumption with immediate effect, which set forth the comprehensive promotion of green transformation in key consumption areas and specifically stipulates the expansion of the distribution of used automobiles and promotes the policies to remove the restrictions on the distribution of used automobiles.</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On September 6, 2022, the MOFCOM and the MPS jointly promulgated the Circular on Improving the Filing of Used Automobiles Market Entities and The Administration of Automobiles Transactions Registration, for the purpose of effectively implementing the Circular on Measures to Enliven Automobile Trading and Expand Automobile Consumption promulgated by the General Offices of 17 Departments including the MOFCOM on July 5, 2022 with immediate effect, which set forth the measures to activate used automobiles markets and remove unreasonable restrictions on the distribution of used automobiles.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Automobile Sales</w:t>
      </w:r>
    </w:p>
    <w:p>
      <w:pPr>
        <w:spacing w:after="0" w:line="98"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On April 5, 2017, the MOFCOM promulgated the Measures on the Administrations of Automobile Sales, or the Measures on Automobile Sales, which took effect on July 1, 2017 and replaced the original Branded Automobile Sales Measures promulgated in 2005. According to the Measures on Sales of Automobile, the supplier takes the way of selling the vehicle to the dealer, and the authorization term (excluding the shop construction term) shall generally not be less than 3 years, and the first authorization term shall generally not be less than five years. An independent automobile seller who sells an automobile without authorization from a supplier or an automobile which is not authorized to be sold by an automobile manufacturer outside the country shall provide a reminder and explanation to the consumer in writing and inform the consumer of the relevant responsibility in writing. When a dealer or an independent automobile seller sells the car to the consumer, it shall verify the identification of the registered consumer, sign the sales contract, and issue the sales invoice. The Measures on Sales of Automobile further provides that a supplier shall not require its dealers to have sales, after-sales service and other functions at the same time, shall not restrict its dealers’ operations of goods of other suppliers, and shall not restrict the dealers from providing parts or other after-sales services for automobiles of other suppliers. Except as otherwise agreed by the parties, a supplier shall not sell automobiles directly to consumers in the area where its dealer is authorized to sell. As regards to information recording, the Measures on Sales of Automobile requires the suppliers or the dealers and independent automobile sellers to file their basic information at the State Council department in charge of the national automobile circulation information management system within 90 days after obtaining their respective business license. If the basic information of a supplier, a dealer or an independent automobile seller is changed, it shall complete the updated filing within 30 days from the date of the change. The basic information of the supplier, the dealer or the independent automobile seller, if it is established before the Measures, should be filed within 90 days from the date that the Measures took effect. The file of automobile sales, users and other information shall be kept by the dealer and independent automobile seller for no less than 10 years. Violation of such regulations may result in penalties or warnings or being ordered to make corrections.</w:t>
      </w:r>
    </w:p>
    <w:p>
      <w:pPr>
        <w:spacing w:after="0" w:line="27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Auction Business</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On April 24, 2015, Auction Law of the People’s Republic of China, or the Auction Law, was promulgated by the SCNPC for the purpose of regulating and administrating the business operation of auction. The MOFCOM further promulgated the Measures for the Administration of Auctions on November 30, 2019 to effectively implementing the Auction Law. Pursuant to the Auction Law, “auction” refers to a way of selling particular goods or property rights to the bidder who offers the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4" w:name="page225"/>
    <w:bookmarkEnd w:id="22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6" w:lineRule="auto"/>
        <w:rPr>
          <w:sz w:val="20"/>
          <w:szCs w:val="20"/>
          <w:color w:val="auto"/>
        </w:rPr>
      </w:pPr>
      <w:r>
        <w:rPr>
          <w:rFonts w:ascii="Arial" w:cs="Arial" w:eastAsia="Arial" w:hAnsi="Arial"/>
          <w:sz w:val="14"/>
          <w:szCs w:val="14"/>
          <w:color w:val="auto"/>
        </w:rPr>
        <w:t>highest price in the form of public bidding. According to the Used Automobile Trading Measures, “used car auction” refers to the business activities whereby a used car auction enterprise transfers a used car to a bidder that offers the highest price through public bidding. According to The Specifications for Used Cars Transaction, which was promulgated by the MOFCOM and became effective on March 24, 2006, where an auction is conducted through the internet, the color photo of the car and information of auctioned car shall be published on internet. The publication period shall not be less than seven days. An enterprise engaging in activities of auction should undergo the review and approval procedure with relevant government authority and obtain the license for auction business. Any entity engaging in the auction business without the license may be subject to enforcement action, including orders issued by the relevant regulatory authorities to cease the auction business, confiscation of any illegal gains, or imposition of fines.</w:t>
      </w:r>
    </w:p>
    <w:p>
      <w:pPr>
        <w:spacing w:after="0" w:line="12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Inspection and Certification Agencies</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According to the Measures for the Administration of the Trading of Used Automobiles, which was promulgated on August 29, 2005 and took effect on October 1, 2005, those who establish a used automobiles appraisal and assessment agencies shall apply to the local commerce regulatory authorities at the provincial level for the Approval Certificate of Used Automobiles Appraisal and Assessment Agencies.</w:t>
      </w:r>
    </w:p>
    <w:p>
      <w:pPr>
        <w:spacing w:after="0" w:line="7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According to the Decision of the State Council on the Second Batch of Canceling Local Governments’ Administrative Approval Items Designated by the Central Government, which was released by the State Council and implemented on February 3, 2016, the State Council canceled the administrative approval items of automobiles appraisal and assessment agencies, and enterprises engaged in used automobiles appraisal and assessment do not need to apply for the Approval Certificate of Used Automobiles Appraisal and Assessment Agencies any more.</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Road Transportations</w:t>
      </w:r>
    </w:p>
    <w:p>
      <w:pPr>
        <w:spacing w:after="0" w:line="10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According to the Regulations on Road Transportation of the PRC promulgated by the State Council on April 30, 2004 and most recently amended on January 30, 2026, and the Provisions on Administration of Road Freight Transportation and Stations issued by the MOT on June 16, 2005 and last amended on February 6, 2026, enterprise that engaged in freight transportation business shall obtain the Road Transportation Operation Permit and conduct freight transportation business within the scope of the Road Transportation Operation Permit. Enterprise engaged in freight transportation business in the absence of such permits shall be ordered to stop operation by competent road transportation authorities and be subject to administrative penalty.</w:t>
      </w:r>
    </w:p>
    <w:p>
      <w:pPr>
        <w:spacing w:after="0" w:line="77"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September 6, 2019, the MOT and the SAT, jointly issued the Interim Measures for Administration of Road Freight Transportation Operation on Online Platform, or the Interim Measure of Digital Freight Transportation, which took effect on January 1, 2020 with a validity period for two years, and, pursuant to which, “digital freight transportation” operation refers to the road freight transportation operation activities in which an operator integrates and allocates transportation resources on an online platform, enters into a transport contract with the consignor in the capacity of a carrier, entrusts an actual carrier to complete the road freight transportation, and assumes the responsibility of the carrier. According to the Interim Measure of Digital Freight Transportation, besides the Road Transportation Permit with the business scope of digital freight transportation, the operators of digital freight transportation business shall also meet the requirements on commercial internet information service pursuant to the Administrative Measures on Internet Information Services. The authorities responsible for the supervision and administration of road transportation at the county level shall issue the operation licenses with the operating scope of digital freight transportation to qualified digital freight transportation operators. On December 20, 2023, the MOT together with the SAT issued the Announcement on extending the validity period of the Interim Measures for Administration of Road Freight Transportation Operation on Online Platform which extends the validity period of the Interim Measure of Digital Freight Transportation to December 31, 2025.</w:t>
      </w:r>
    </w:p>
    <w:p>
      <w:pPr>
        <w:spacing w:after="0" w:line="27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5" w:name="page226"/>
    <w:bookmarkEnd w:id="22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January 23, 2026, the MOT and the SAT jointly issued the Measures for the Administration of Operation of Online Freight Transportation Carrier Platform, or the Online Freight Carrier Platform Measures, which became effective upon issuance and replaced the Interim Measure of Digital Freight Transportation. Compared with the Interim Measure of Digital Freight Transportation, the Online Freight Carrier Platform Measures, among other matters, strengthen the protection of truck drivers’ rights and interests in respect of platform safety management, education and training, freight payment, transaction rules and the use of data and algorithms; clarify online freight carrier platforms’ obligation to handle tax filings and tax payments on behalf of actual carriers and the related tax-information record-keeping requirements; enhance digital regulatory requirements relating to monitoring-information submission, data-transmission methods and inter-departmental information sharing; and refine the inter-departmental coordinated regulatory mechanism between local transportation and tax authorities. Online matchmaking platforms that solely facilitate transactions between shippers and carriers are to be governed by separate administrative rules to be issued.</w:t>
      </w:r>
    </w:p>
    <w:p>
      <w:pPr>
        <w:spacing w:after="0" w:line="88"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September 24, 2019, the MOT promulgated three guidelines on digital freight transportation, including the Service Guidelines on the Road Freight Transportation Operation on Online Platform, the Guidelines on the Construction of Provincial Digital Freight Information Monitoring System and the Access Guidelines on the Ministerial Digital Freight Information Interaction System, all of which came into effect at the same date. Among those, the Service Guidelines on the Road Freight Transportation Operation on Online Platform sets forth that digital freight transportation operators shall meet the requirements include: (i) obtaining the value-added telecommunication business operation licenses,</w:t>
      </w:r>
    </w:p>
    <w:p>
      <w:pPr>
        <w:ind w:left="1660" w:hanging="245"/>
        <w:spacing w:after="0" w:line="238" w:lineRule="auto"/>
        <w:tabs>
          <w:tab w:leader="none" w:pos="16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complying  with  state’s  requirements  for  graded  protection  of  information  system  security,</w:t>
      </w:r>
    </w:p>
    <w:p>
      <w:pPr>
        <w:ind w:left="1680" w:hanging="265"/>
        <w:spacing w:after="0" w:line="232" w:lineRule="auto"/>
        <w:tabs>
          <w:tab w:leader="none" w:pos="16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connecting to the provincial digital freight transportation information monitoring system, and</w:t>
      </w:r>
    </w:p>
    <w:p>
      <w:pPr>
        <w:ind w:left="1420" w:right="1398" w:hanging="5"/>
        <w:spacing w:after="0" w:line="244" w:lineRule="auto"/>
        <w:tabs>
          <w:tab w:leader="none" w:pos="166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equipped with features including information release, online transaction, full-process monitoring, online financial payment, consultation and complaint, query statistics and data retrieval.</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E-Commerce</w:t>
      </w:r>
    </w:p>
    <w:p>
      <w:pPr>
        <w:spacing w:after="0" w:line="109"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On January 26, 2014, the State Administration for Industry and Commerce, or the SAIC (which is the predecessor of the SAMR) promulgated the Administrative Measures for Online Trading, or the Online Trading Measures, which became effective on March 15, 2014, to regulate all operating activities for product sales and services provision via the internet (including mobile internet). It stipulates the obligations of online products operators and services providers and certain special requirements applicable to third-party platform operators. Furthermore, the Ministry of Commerce, or MOFCOM, promulgated the Provisions on the Procedures for Formulating Transaction Rules of Third-Party Online Retail Platforms (Trial) on December 24, 2014, which became effective on April 1, 2015, to guide and regulate the formulation, revision and enforcement of transaction rules by online retail third-party platforms operators. These measures impose more stringent requirements and obligations on third-party platform operators. For example, third-party platform operators are obligated to make public and file their transaction rules with MOFCOM or their respective provincial counterparts, examine and register the legal status of each third-party merchant selling products or services on their platforms and display on a prominent location on a merchant’s webpage the information stated in the merchant’s business license or a link to its business license. Where third-party platform operators also conduct self-operation of products or services on the platform, these third-party platform operators must make a clear distinction between their online direct sales and sales of third-party merchant products on their third-party platforms to avoid misleading the consumers. On March 15, 2021, the State Administration for Market Regulation, or SAMR, promulgated the Measures for the Supervision and Administration of Online Transactions, which was last amended on March 18, 2025 and came into effect on May 1, 2025 and replace the Online Trading Measures. These new measures provide more detailed requirements for the platform operators, such as clarifying the specific acts infringing consumers’ personal information in online transactions and the prohibited contents contained in the standard terms used by the operators.</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6" w:name="page227"/>
    <w:bookmarkEnd w:id="22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August 31, 2018, the Standing Committee of the National People’s Congress, or the SCNPC, promulgated the E-Commerce Law of the PRC, or the E-Commerce Law, which became effective on January 1, 2019. The promulgation of the E-Commerce Law established the basic legal framework for the development of China’s E-Commerce business and clarified the obligations of the operators of e-commerce platforms and the possible legal consequences if operators of e-commerce platforms are found to be in violation of legally prescribed obligations. For example, pursuant to the E-Commerce Law, all e-commerce operators shall (i) register themselves as market subjects according to the law, except for individuals selling self-produced agricultural and sideline products or family handicrafts, applying their own skills in labor activities that are exempted from registration, or engaged in odd small-amount transaction activities that do not require any license under the law; (ii) fulfill their tax obligations and enjoy tax incentives in accordance with the law; (iii) always have information about its own business license, the administrative license issued for its business, and its status as a party that is not required to register itself as a market subject, or the link to a webpage with such information published in a prominent position on its homepage; (iv) bear the likely risks and responsibilities when commodities are in transit, except when consumers select separate express logistics service providers; and (v) provide clear notice to consumers for tie-in sales and shall not set tie-in commodities or services as the default option. Further, e-commerce operators that possess dominant market positions shall not abuse their market dominance to eliminate or restrict competition.</w:t>
      </w:r>
    </w:p>
    <w:p>
      <w:pPr>
        <w:spacing w:after="0" w:line="23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addition, the E-commerce Law provides that platform operators shall (i) verify and register the identity, address, contact and administrative license of e-commerce operators applying to sell commodities or provide services on its platform, establish registration archives and have them verified and updated regularly; (ii) record and save information released on its platform about commodities and services and deals concluded for a period of three years (unless otherwise stipulated), and ensure the completeness, confidentiality and availability of such information; (iii) use noticeable labels to clearly identify any business that it conducts on its own platform. A platform operator shall not impose unreasonable restrictions over or add unjustified conditions to transactions concluded on its platform by e-commerce operators, nor shall a platform operator charge e-commerce operators on its platform any unreasonable fees.</w:t>
      </w:r>
    </w:p>
    <w:p>
      <w:pPr>
        <w:spacing w:after="0" w:line="8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Violation of the provisions of the E-Commerce Law may entail being ordered to make corrections within a prescribed period of time, confiscation of gains illegally obtained, fines, suspension of business, inclusion of such violations in the credit records and possible civil liabilities. If a platform operator knows, or should have known, that an e-commerce operator has conducted acts infringing on the legitimate rights and interests of consumers, but the platform operator fails to take any necessary measure, the platform operator shall be held jointly and severally liable with the e-commerce operator. Where a platform operator fails to examine the qualifications of the e -commerce operators on its platform or fails to protect the safety of its consumers in respect of goods or services that may affect the consumer’s health, the platform operator shall bear corresponding liability to the consumers. Where a platform operator fails to take necessary measures against violations of intellectual property rights by e-commerce operators on its platform, the relevant administrative departments of intellectual property may order the platform operator to make corrections within the required time limit; where it fails to make corrections within the required time limit, the platform operator may face administrative fines of up to RMB2,000,000.</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and Policies on Computer Software</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accordance with the Regulations on the Protection of Computer Software promulgated by the State Council on June 4, 1991 and last amended on March 2013, Chinese citizens, legal persons or other entities own the copyright in software developed by them, including the right of publication, right of authorship, right of modification, right of reproduction, distribution right, rental right, right of communication through network, translation right and other rights that software copyright owners shall have, regardless of whether such software has been published. In accordance with</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7" w:name="page228"/>
    <w:bookmarkEnd w:id="22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the Measures for the Registration of Computer Software Copyright promulgated by the National Copyright Administration on April 1992 and last amended on February 2002, software copyrights, exclusive licensing contracts for software copyrights and software copyright transfer contracts may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certification to a computer software copyright applicant who complies with regulations.</w:t>
      </w:r>
    </w:p>
    <w:p>
      <w:pPr>
        <w:spacing w:after="0" w:line="8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Several Policies on Further Encouraging the Development of the Software and the Integrated Circuit Industries which was promulgated by the State Council on January 28, 2011 and came into effect on the same date specifies a series of policies on tax preference, promotion of investment, scientific research, talent support, intellectual properties for the software industry. Furthermore, the Several Policies on Promoting the High-quality Development of the Integrated Circuit Industries and the Software Industries in the New Era which was promulgated by the State Council on July 27, 2020 and came into effect on the same date sets forth further policies on tax preference, promotion of investment, research and development, import and export, talent support, intellectual properties for the software industry.</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Advertisement</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PRC government regulates advertising principally through the SAMR. The PRC Advertising Law, or the Advertising Law, as last amended on April 29, 2021, outlines the regulatory framework for the advertising industry. The Advertising Law stipulates that advertisements shall not contain any false or misleading content or defraud or mislead consumers. Any advertisement that defrauds or misleads consumers with any false or misleading content is considered a false advertisement. An advertiser shall be responsible for the veracity of contents of advertisement. Violation of these regulations may result in penalties calculated on the basis of advertising expenses.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Product Quality</w:t>
      </w:r>
    </w:p>
    <w:p>
      <w:pPr>
        <w:spacing w:after="0" w:line="9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According to the Product Quality Law of the PRC, which became effective from September 1, 1993 and was last amended by the SCNPC on December 29, 2018, products for sale must satisfy relevant safety standards and sellers shall adopt measures to maintain the quality of products for sale.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and even revocation of business license; in addition, severe violations may subject the responsible individual or enterprise to criminal liabilities. According to the Product Quality Law of the PRC and the Civil Code of the PRC, or the PRC Civil Code, which was promulgated by the National People’s Congress, or the NPC, on May 28, 2020 and took effect on January 1, 2021, where a defective product causes physical injury to another person or damage to another person’s property, such person may claim compensation from the manufacturer or from the seller of the product. If the seller pays the compensation but it is the manufacturer that should bear the liability, the seller has a right of recourse against the manufacturer, and vice versa. The PRC Civil Code further stipulates that if any manufacturer or seller knowingly produces or sells defective products or fails to take effective remedial measures in accordance with the PRC Civil Code and thus causes death or serious injury to the health of another person, such person shall be entitled to claim punitive damages. If the product is defective due to the fault of a third party such as a transport keeper or a warehouser, causing damage to others, the manufacturer or seller of the product shall have the right to claim compensation from the third party after making compensation.</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Information Security and Privacy Protection</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On December 28, 2012, the Standing Committee of the National People’s Congress, or the SCNPC, issued the Decision on Strengthening Information Protection on Networks, pursuant to which, network service providers and other enterprises and institutions shall, when collecting and</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8" w:name="page229"/>
    <w:bookmarkEnd w:id="22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using electronic personal information of citizens in business activities, comply with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spacing w:after="0" w:line="8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Cybersecurity Law of the PRC, or the Cybersecurity Law, originally came into effective on June 1, 2017, was amended on October 28, 2025 and the amendments became effective on January 1, 2026. According to the Cybersecurity Law, network operators must comply with applicable laws and regulations and fulfill their obligations to safeguard cyber security in conducting business and providing services. As for the operation of the network or the provision of services through the network, network operators shall take technical and other necessary measures as required by law and the compulsory requirements of national standards to ensure the safe and stable operation of the network, respond to cyber security incidents effectively, prevent illegal and criminal activities, and maintain the integrity, confidentiality and usability of network data. Network operators are also required to, among others, (i) establish internal security management policies and operation procedures; (ii) clearly indicate the purposes, methods and scope of the information collection, the use of information collection, and obtain the consent of those from whom the information is collected, when collecting or using personal information; and (iii) strictly preserve the privacy of user information they collect, and establish and maintain systems to protect user privacy. In the event of any unauthorized disclosure, damage or loss of collected personal information, network operators shall take immediate remedial measures, notify the affected users and report the incidents to the relevant authorities in a timely manner.</w:t>
      </w:r>
    </w:p>
    <w:p>
      <w:pPr>
        <w:spacing w:after="0" w:line="92"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November 28, 2019, the CAC, the MIIT, the Ministry of Public Security and the State Administration for Market Regulation jointly promulgated the Measures for Determining the Illegal Collection and Use of Personal Information through Mobile Applications (the “</w:t>
      </w:r>
      <w:r>
        <w:rPr>
          <w:rFonts w:ascii="Arial" w:cs="Arial" w:eastAsia="Arial" w:hAnsi="Arial"/>
          <w:sz w:val="14"/>
          <w:szCs w:val="14"/>
          <w:b w:val="1"/>
          <w:bCs w:val="1"/>
          <w:color w:val="auto"/>
        </w:rPr>
        <w:t>Application</w:t>
      </w:r>
      <w:r>
        <w:rPr>
          <w:rFonts w:ascii="Arial" w:cs="Arial" w:eastAsia="Arial" w:hAnsi="Arial"/>
          <w:sz w:val="14"/>
          <w:szCs w:val="14"/>
          <w:color w:val="auto"/>
        </w:rPr>
        <w:t xml:space="preserve"> </w:t>
      </w:r>
      <w:r>
        <w:rPr>
          <w:rFonts w:ascii="Arial" w:cs="Arial" w:eastAsia="Arial" w:hAnsi="Arial"/>
          <w:sz w:val="14"/>
          <w:szCs w:val="14"/>
          <w:b w:val="1"/>
          <w:bCs w:val="1"/>
          <w:color w:val="auto"/>
        </w:rPr>
        <w:t>Measures</w:t>
      </w:r>
      <w:r>
        <w:rPr>
          <w:rFonts w:ascii="Arial" w:cs="Arial" w:eastAsia="Arial" w:hAnsi="Arial"/>
          <w:sz w:val="14"/>
          <w:szCs w:val="14"/>
          <w:color w:val="auto"/>
        </w:rPr>
        <w:t>”). The Application Measures aim to provide guidance for mobile application operators to</w:t>
      </w:r>
      <w:r>
        <w:rPr>
          <w:rFonts w:ascii="Arial" w:cs="Arial" w:eastAsia="Arial" w:hAnsi="Arial"/>
          <w:sz w:val="14"/>
          <w:szCs w:val="14"/>
          <w:b w:val="1"/>
          <w:bCs w:val="1"/>
          <w:color w:val="auto"/>
        </w:rPr>
        <w:t xml:space="preserve"> </w:t>
      </w:r>
      <w:r>
        <w:rPr>
          <w:rFonts w:ascii="Arial" w:cs="Arial" w:eastAsia="Arial" w:hAnsi="Arial"/>
          <w:sz w:val="14"/>
          <w:szCs w:val="14"/>
          <w:color w:val="auto"/>
        </w:rPr>
        <w:t>conduct self-examination, self-correction, and promote social supervision. The Application Measures further provide detailed explanations regarding the six primary forms of behavior constituting illegal collection and use of the personal information through mobile applications, including: (i) failure to publish rules on the collection and use of personal information; (ii) failure to explicitly explain the purposes, methods and scope of the collection and use of personal information; (iii) collecting and using personal information without the consent of users; (iv) collecting personal information unrelated to the services provided and exceeding the necessary scope; (v) providing personal information to third parties without the consent of users; (vi) failure to provide the function to delete or correct the personal information in accordance with the laws, or failure to publish information such as complaint and reporting channels.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May 28, 2020, the National People’s Congress issued the PRC Civil Code, which took effect on January 1, 2021, pursuant to which, natural person’s personal information shall be protected by law, and the processing of personal information shall be subject to the principle of legitimacy, rightfulness and necessity, with no excessive processing.</w:t>
      </w:r>
    </w:p>
    <w:p>
      <w:pPr>
        <w:spacing w:after="0" w:line="7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Data Security Law of PRC (the “</w:t>
      </w:r>
      <w:r>
        <w:rPr>
          <w:rFonts w:ascii="Arial" w:cs="Arial" w:eastAsia="Arial" w:hAnsi="Arial"/>
          <w:sz w:val="14"/>
          <w:szCs w:val="14"/>
          <w:b w:val="1"/>
          <w:bCs w:val="1"/>
          <w:color w:val="auto"/>
        </w:rPr>
        <w:t>Data Security Law</w:t>
      </w:r>
      <w:r>
        <w:rPr>
          <w:rFonts w:ascii="Arial" w:cs="Arial" w:eastAsia="Arial" w:hAnsi="Arial"/>
          <w:sz w:val="14"/>
          <w:szCs w:val="14"/>
          <w:color w:val="auto"/>
        </w:rPr>
        <w:t>”) was released by the SCNPC on June 10, 2021 and became effective on September 1, 2021. The Data Security Law provides for, amongst others, data security and protection obligations on entities and individuals carrying out data processing activities, and introduces a data classification and hierarchical protection system based on the materiality of data in economic and social development, as well as the degree of harm it may cause to national security, public interests or legitimate rights and interests of individuals or entities when such data is tampered with, destroyed, divulged or illegally acquired or used. According to the Data Security Law, data processing activities shall be carried out in accordance with PRC laws and regulations, establishing and improving the whole-process data security management system,</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29" w:name="page230"/>
    <w:bookmarkEnd w:id="22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organizing and carrying out data security education and training, and taking relevant technical measures and other measures necessary to safeguard data security. In carrying out data processing activities, risk monitoring shall be strengthened, and remedial measures shall be taken immediately when data security defects, loopholes and other risks are found. In the event of a data security incident, the data processors shall take immediate measures to deal with it, inform the user in time and report to the competent authorities in accordance with relevant provisions. The Data Security Law also requires the government to establish data security review mechanism for data processing activities that affect or may affect national security.</w:t>
      </w:r>
    </w:p>
    <w:p>
      <w:pPr>
        <w:spacing w:after="0" w:line="8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August 16, 2021, the CAC and certain other Chinese government authorities issued the Several Provisions on Automobile Data Security Management (for Trial) (the “</w:t>
      </w:r>
      <w:r>
        <w:rPr>
          <w:rFonts w:ascii="Arial" w:cs="Arial" w:eastAsia="Arial" w:hAnsi="Arial"/>
          <w:sz w:val="14"/>
          <w:szCs w:val="14"/>
          <w:b w:val="1"/>
          <w:bCs w:val="1"/>
          <w:color w:val="auto"/>
        </w:rPr>
        <w:t>Automobile Data</w:t>
      </w:r>
      <w:r>
        <w:rPr>
          <w:rFonts w:ascii="Arial" w:cs="Arial" w:eastAsia="Arial" w:hAnsi="Arial"/>
          <w:sz w:val="14"/>
          <w:szCs w:val="14"/>
          <w:color w:val="auto"/>
        </w:rPr>
        <w:t xml:space="preserve"> </w:t>
      </w:r>
      <w:r>
        <w:rPr>
          <w:rFonts w:ascii="Arial" w:cs="Arial" w:eastAsia="Arial" w:hAnsi="Arial"/>
          <w:sz w:val="14"/>
          <w:szCs w:val="14"/>
          <w:b w:val="1"/>
          <w:bCs w:val="1"/>
          <w:color w:val="auto"/>
        </w:rPr>
        <w:t>Provisions</w:t>
      </w:r>
      <w:r>
        <w:rPr>
          <w:rFonts w:ascii="Arial" w:cs="Arial" w:eastAsia="Arial" w:hAnsi="Arial"/>
          <w:sz w:val="14"/>
          <w:szCs w:val="14"/>
          <w:color w:val="auto"/>
        </w:rPr>
        <w:t>”), which took effect on October 1, 2021. The Automobile Data Provisions stipulate the</w:t>
      </w:r>
      <w:r>
        <w:rPr>
          <w:rFonts w:ascii="Arial" w:cs="Arial" w:eastAsia="Arial" w:hAnsi="Arial"/>
          <w:sz w:val="14"/>
          <w:szCs w:val="14"/>
          <w:b w:val="1"/>
          <w:bCs w:val="1"/>
          <w:color w:val="auto"/>
        </w:rPr>
        <w:t xml:space="preserve"> </w:t>
      </w:r>
      <w:r>
        <w:rPr>
          <w:rFonts w:ascii="Arial" w:cs="Arial" w:eastAsia="Arial" w:hAnsi="Arial"/>
          <w:sz w:val="14"/>
          <w:szCs w:val="14"/>
          <w:color w:val="auto"/>
        </w:rPr>
        <w:t>scope of personal information and important data in the automobile industry and set out the principles and requirements for the automobile data processors to process personal information or important data. The automobile data processors who carry out important data processing activities shall also carry out risk assessments and submit annual automobile data security management report to relevant government authorities at the provincial level.</w:t>
      </w:r>
    </w:p>
    <w:p>
      <w:pPr>
        <w:spacing w:after="0" w:line="8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August 20, 2021, the SCNPC promulgated the Personal Information Protection Law (the “</w:t>
      </w:r>
      <w:r>
        <w:rPr>
          <w:rFonts w:ascii="Arial" w:cs="Arial" w:eastAsia="Arial" w:hAnsi="Arial"/>
          <w:sz w:val="14"/>
          <w:szCs w:val="14"/>
          <w:b w:val="1"/>
          <w:bCs w:val="1"/>
          <w:color w:val="auto"/>
        </w:rPr>
        <w:t>PIPL</w:t>
      </w:r>
      <w:r>
        <w:rPr>
          <w:rFonts w:ascii="Arial" w:cs="Arial" w:eastAsia="Arial" w:hAnsi="Arial"/>
          <w:sz w:val="14"/>
          <w:szCs w:val="14"/>
          <w:color w:val="auto"/>
        </w:rPr>
        <w:t>”), which became effective on November 1, 2021. The PIPL stipulates the scope of personal information, sets out the rules for processing personal information and the rules for cross-border transfer of personal information, as well as clarifies the individual’s rights and the processor’s obligations in the process of personal information processing. The PIPL requires, among others, that</w:t>
      </w:r>
    </w:p>
    <w:p>
      <w:pPr>
        <w:spacing w:after="0" w:line="1" w:lineRule="exact"/>
        <w:rPr>
          <w:sz w:val="20"/>
          <w:szCs w:val="20"/>
          <w:color w:val="auto"/>
        </w:rPr>
      </w:pPr>
    </w:p>
    <w:p>
      <w:pPr>
        <w:jc w:val="both"/>
        <w:ind w:left="1420" w:right="1398" w:hanging="5"/>
        <w:spacing w:after="0" w:line="234" w:lineRule="auto"/>
        <w:tabs>
          <w:tab w:leader="none" w:pos="1633"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informing the individuals of the rules and purposes of personal information processing, impacts of personal information processing and how the individual can exercise their rights, (2) obtaining consents from individuals for personal information processing or having other applicable legal basis to process personal information, (3) establishing internal policies and procedures in terms of personal information processing and taking appropriate technical measures, (4) providing channels for individuals to exercise their personal information rights under the PIPL and respond to their requests; and (5) conduct personal information protection assessment under certain personal information processing activities.</w:t>
      </w:r>
    </w:p>
    <w:p>
      <w:pPr>
        <w:spacing w:after="0" w:line="75"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December 28, 2021, the CAC and several other government authorities jointly promulgated the Cybersecurity Review Measures, which became effective from February 15, 2022. According to the Cybersecurity Review Measures, a network platform operator who possesses personal information of more than one million users must apply for cybersecurity review before listing abroad, and cybersecurity review may also be initiated by the Office of Cybersecurity Review if the relevant governmental authority that is a member of the cybersecurity review working mechanism considers relevant network products or services and data processing activities affect or may affect national security.</w:t>
      </w:r>
    </w:p>
    <w:p>
      <w:pPr>
        <w:spacing w:after="0" w:line="77"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On March 22, 2024, the CAC issued the Provisions on the Promotion and Regulation of Cross-border Data Flows. According to these provisions, the transfer of data collected and generated during specific activities such as international trade, cross-border transport, transnational manufacturing and marketing, which do not involve personal information or important data, is exempted from the requirements to undergo data export security assessment, the need to enter into standard contracts for the transfer of personal information abroad, or obtaining personal information protection certification. These provisions also stipulate that, if a data processor, who is not a critical information infrastructure operator, transfers personal information (excluding sensitive personal information) of less than 100,000 individuals cumulatively as of January 1 of the current year, it may be exempted from the requirement to undergo a data export security assessment, entering into a standard contract for transferring personal information abroad, or obtaining personal information protection certification.</w:t>
      </w:r>
    </w:p>
    <w:p>
      <w:pPr>
        <w:spacing w:after="0" w:line="5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September 24, 2024, the State Council promulgated the Regulations on the Security Management of Network Data, or the Network Data Regulations, which came into effect on January 1, 2025. The Network Data Regulations stipulate detailed implementing rules and guidelines applicable</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0" w:name="page231"/>
    <w:bookmarkEnd w:id="23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to the protection of personal information, the security of important data, the security management of data exports, the obligations of network platform operators, and the supervision, management and legal responsibilities related to the foregoing. Any failure to comply with such requirements may be subject to, among others, suspension of services, fines, revoking relevant business permits or business licenses and penalties. Among others, if the network data processing activities have or may have impacts on national security, such activities shall be subject to national security review in accordance with relevant laws and regulations.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Leasing</w:t>
      </w:r>
    </w:p>
    <w:p>
      <w:pPr>
        <w:spacing w:after="0" w:line="8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Pursuant to the Law on Administration of Urban Real Estate which took effect in January 1995 with the latest amendment effective on January 1, 2020, lessors and lessees are required to enter into a written lease contract, containing such provisions as the term of the lease, the use of the premises, rental price, liability for repair and other rights and obligations of both parties. Lessors and lessees are also required to file for registration.</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Intellectual Property</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Copyright and Software Products</w:t>
      </w:r>
    </w:p>
    <w:p>
      <w:pPr>
        <w:spacing w:after="0" w:line="9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September 7, 1990, The National People’s Congress adopted the Copyright Law of the PRC, or the Copyright Law, which was last amended on November 11, 2020 and became effective on June 1, 2021, providing that PRC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there is a voluntary registration system administered by the China Copyright Protection Center.</w:t>
      </w:r>
    </w:p>
    <w:p>
      <w:pPr>
        <w:spacing w:after="0" w:line="6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order to further implement the Computer Software Protection Regulations promulgated by the State Council on December 20, 2001 and most recently amended on January 30, 2013, the State Copyright Bureau issued the Computer Software Copyright Registration Procedures on February 20, 2002, which apply to software copyright registration, license contract registration and transfer contract registration.</w:t>
      </w:r>
    </w:p>
    <w:p>
      <w:pPr>
        <w:spacing w:after="0" w:line="63"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According to the Copyright Law, an infringer will be subject to various civil liabilities, which include cessation of the infringement and apologizing to and compensating the actual loss suffered by the copyright owner. If the actual loss of the copyright owner is difficult to calculate, the income received by the infringer as a result of the infringement will be deemed as the actual loss or if such illegal income is also difficult to calculate, the court can decide the amount of the actual loss up to RMB5,000,000.</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Trademarks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August 23, 1982, the State Council adopted the Trademark Law of the PRC, or the Trademark Law, which was last amended on April 23, 2019 and became effective on November 1, 2019. On August 3, 2002, the State Council promulgated the Implementation Regulation of the PRC Trademark Law, which was last amended on April 29, 2014 and became effective on May 1, 2014. The Trademark Office under the SAMR handles trademark registrations and grants a term of 10 years to registered trademarks and another 10 years if requested upon expiry of the first or any renewed 10-year term. The Trademark Law has adopted a “first-to -file”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1" w:name="page232"/>
    <w:bookmarkEnd w:id="23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After receiving an application, the Trademark Office will make a public announcement if the relevant trademark passes the preliminary examination. During the three months after this public announcement, any person entitled to prior rights and any interested party may file an objection against the trademark. The PRC Trademark Office’s decisions on rejection, objection or cancelation of an application may be appealed to the PRC Trademark Review and Adjudication Board, whose decision may be further appealed through judicial proceedings. If no objection is filed within three months after the public announcement or if the objection has been overruled, the PRC Trademark Office will approve the registration and issue a registration certificate, at which point the trademark is deemed to be registered and will be effective for a renewable 10-year period, unless otherwise revoked. Besides, trademark license agreements should be filed with the Trademark Office for record.</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Patent</w:t>
      </w:r>
    </w:p>
    <w:p>
      <w:pPr>
        <w:spacing w:after="0" w:line="107"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On March 12, 1984, the SCNPC, promulgated the Patent Law of the PRC, which was last amended on October 17, 2020. On June 15, 2001, the State Council promulgated the Implementation Regulation for the Patent Law, which was last amended on December 11, 2023 and became effective on January 20, 2024. According to these laws and regulations, the State Intellectual Property Office is responsible for administering patents in the PRC. The Chinese patent system adopts a “first to file” principle, which means that where more than one person files a patent application for the same invention, a patent will be granted to the person who filed the application first. To be patentable, invention or utility models must meet three conditions: novelty, inventiveness and practical applicability. A patent is valid for 20 years in the case of an invention and 10 years in the case of utility models and designs. A third-party user must obtain consent or a proper license from the patent owner to use the patent. Otherwise, third-party use constitutes an infringement of patent rights.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Domain Names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Internet domain name registration and related matters are primarily regulated by the Measures on Administration of Internet Domain Names promulgated by the Ministry of Industry and Information Technology on August 24, 2017 and with effect from November 1, 2017, and the Announcement on Promulgation and Implementation of a Series of Provisions of the Implementing Rules for the Registration of National Top-level Domain Names promulgated by the China Internet Network Information Center on June 18, 2019 with immediate effect. Domain name registrations are handled through domain name service agencies established under the relevant regulations, and the applicants become domain name holders upon successful registration.</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relating to Foreign Exchange Control</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Regulations on Foreign Currency Exchange</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January 29, 1996, the State Council promulgated the Administrative Regulations on Foreign Exchange of the PRC, which was last amended and came into effect on August 5, 2008. On June 20, 1996, the People’s Bank of China, or the PBOC, promulgated the Administrative Regulations on Foreign Exchange Settlement, Sales and Payment, which became effective on July 1, 1996. Under these regulations, payments of current account items, such as profit distributions and trade and service-related foreign exchange transactions, can be made in foreign currencies without prior approval from State Foreign Exchange Administration of the People’s Republic of China, or the SAFE, by complying with certain procedural requirements. By contrast, approval from or registration with appropriate government authorities is required where Renminbi is to be converted into foreign currency and remitted out of the PRC to pay capital account items such as the repayment</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2" w:name="page233"/>
    <w:bookmarkEnd w:id="23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of foreign currency denominated loans, direct investment overseas and investments in securities or derivative products outside the PRC. FIEs are permitted to convert their after-tax dividends into foreign exchange and to remit such foreign exchange out of their foreign exchange bank accounts in the PRC.</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On March 30, 2015, the SAFE promulgated the Notice on Reforming the Administration of Foreign Exchange Settlement of Capital of Foreign-invested Enterprises, or the SAFE Circular 19, which was last amended on March 23, 2023. According to SAFE Circular 19, the foreign currency capital contribution to an FIE in its capital account may be converted into RMB on a discretional basis.</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June 9, 2016, the SAFE promulgated the Circular on Reforming and Regulating Policies on the Management of the Settlement of Foreign Exchange of Capital Accounts, or the SAFE Circular 16, which was last amended on December 4, 2023. The SAFE Circular 16 unifies the discretional foreign exchange settlement for all the domestic institutions. The Discretional Foreign Exchange Settlement refers to the foreign exchange capital in the capital account which has been confirmed by the relevant policies subject to the discretional foreign exchange settlement (including foreign exchange capital, foreign loans and funds remitted from the proceeds from the overseas listing) can be settled at the banks based on the actual operational needs of the domestic institutions. The proportion of Discretional Foreign Exchange Settlement of the foreign exchange capital is temporarily determined as 100%. Violations of SAFE Circular 19 or SAFE Circular 16 could result in administrative penalties in accordance with the Foreign Exchange Administrative Regulation and relevant provisions.</w:t>
      </w:r>
    </w:p>
    <w:p>
      <w:pPr>
        <w:spacing w:after="0" w:line="80"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Furthermore, the SAFE Circular 16 stipulates that the use of foreign exchange incomes of capital accounts by FIEs shall follow the principles of authenticity and self-use within the business scope of the enterprises. The foreign exchange incomes of capital accounts and capital in RMB obtained by the FIEs from foreign exchange settlement shall not be used for the following purposes: (i) directly or indirectly used for the payment beyond the business scope of the enterprises or the payment prohibited by relevant laws and regulations; (ii) directly or indirectly used for investment in securities or financial schemes other than bank guaranteed products unless otherwise provided by relevant laws and regulations; (iii) used for granting loans to non-affiliated enterprises, unless otherwise permitted by its business scope; and (iv) used for the construction or purchase of real estate that is not for self-use (except for the real estate enterprises).</w:t>
      </w:r>
    </w:p>
    <w:p>
      <w:pPr>
        <w:spacing w:after="0" w:line="8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On October 23, 2019, the SAFE promulgated the Notice of the State Administration of Foreign Exchange on Further Promoting the Convenience of Cross-border Trade and Investment, or the SAFE Circular 28, which was last amended on December 4, 2023. The SAFE Circular 28 stipulates that non-investment FIEs may use capital to carry out domestic equity investment in accordance with the law under the premise of not violating the Negative list and the projects invested are true and in compliance with laws and regulations.</w:t>
      </w:r>
    </w:p>
    <w:p>
      <w:pPr>
        <w:spacing w:after="0" w:line="8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April 10, 2020, the SAFE promulgated the Circular of SAFE on Optimizing Foreign Exchange Administration to Support the Development of Foreign-related Business, or the SAFE Circular 8, the reform of facilitating the payments of incomes under the capital accounts shall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etc., for domestic payment, without the need to provide proof materials for veracity to the bank beforehand for each transaction.</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Regulations on Foreign Debts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 loan made by foreign investors as shareholders in a foreign-invested enterprise is considered to be foreign debt in the PRC and is regulated by various laws and regulations, including the Foreign Exchange Administrative Regulation, the Interim Provisions on the Management of Foreign Debts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3" w:name="page234"/>
    <w:bookmarkEnd w:id="23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promulgated by SAFE, the NDRC and the Ministry of Finance or the MOF, and took effect on March 1, 2003, amended on July 26, 2022 and took effect on September 1, 2022 and the Administrative Measures for Registration of Foreign Debts promulgated by SAFE on April 28, 2013 and amended by the Notice of the SAFE on Abolishing and Amending the Normative Documents Related to the Reform of the Registered Capital Registration System on May 4, 2015. Under these rules, a shareholder loan in the form of foreign debt made to a Chinese entity does not require the prior approval of SAFE. However, such foreign debt must be registered with and recorded by SAFE or its local branch. The SAFE Circular 28 provides that a nonfinancial enterprise in the pilot areas may register the permitted amounts of foreign debts, which is as twice of the nonfinancial enterprise’s net assets, at the local foreign exchange bureau. Such nonfinancial enterprise may borrow foreign debts within the permitted amounts and directly handle the relevant procedures in banks without registration of each foreign debt. However, the nonfinancial enterprise shall report its international income and expenditure regularly.</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3"/>
          <w:szCs w:val="13"/>
          <w:b w:val="1"/>
          <w:bCs w:val="1"/>
          <w:i w:val="1"/>
          <w:iCs w:val="1"/>
          <w:color w:val="auto"/>
        </w:rPr>
        <w:t>Regulations on Foreign Exchange Registration of Overseas Investment by PRC Residents</w:t>
      </w:r>
    </w:p>
    <w:p>
      <w:pPr>
        <w:spacing w:after="0" w:line="11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July 4, 2014, the SAFE promulgated the Circular on Relevant Issues Relating to Domestic Resident’s Investment and Financing and Roundtrip Investment through Special Purpose Vehicles, or the SAFE Circular 37, that requires PRC residents or entities to register with the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SAFE Circular 37 was issued to replace the Notice on Relevant Issues Concerning Foreign Exchange Administration for PRC Residents Engaging in Financing and Roundtrip Investments via Overseas Special Purpose Vehicles issued by SAFE in October 2005. The SAFE further enacted SAFE Circular 13, which allows PRC residents or entities to register with qualified banks in connection with their establishment or control of an offshore entity established for the purpose of overseas investment or financing. However, remedial registration applications made by PRC residents that previously failed to comply with the SAFE Circular 37 continue to fall under the jurisdiction of the relevant local branch of SAFE. In the event that a PRC shareholder holding interests in a special purpose vehicle fails to fulfill the required SAFE registration, the PRC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 Moreover, failure to comply with the various SAFE registration requirements described above could result in liability under the PRC laws for evasion of foreign exchange regulation.</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Regulations on Outbound Direct Investment</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On December 26, 2017, the NDRC promulgated the Administrative Measures on Overseas Investments of Enterprises, or NDRC Order No. 11, which took effect on March 1, 2018. According to NDRC Order No. 11, non-sensitive overseas investment projects are required to make record filings with the NDRC or its local branch. On September 6, 2014, MOFCOM promulgated the Administrative Measures on Overseas Investments, which took effect on October 6, 2014. According to such regulation, overseas investments of PRC enterprises that involve non-sensitive countries and regions and non-sensitive industries must make record filings with the MOFCOM or its local branch. The Notice of the State Administration of Foreign Exchange on Further Improving and Adjusting Foreign Exchange Administration Policies for Direct Investment was issued by SAFE on November 19, 2012 and last amended on December 30, 2019, under which PRC enterprises must register for overseas direct investment with local banks. The shareholders or beneficial owners who</w:t>
      </w:r>
    </w:p>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4" w:name="page235"/>
    <w:bookmarkEnd w:id="23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are PRC entities are required to be in compliance with the related overseas investment regulations. If they fail to complete the filings or registrations required by overseas direct investment regulations, the relevant authority may order them to suspend or cease the implementation of such investment and make corrections within a specified time.</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Regulations on Stock Incentive Plans</w:t>
      </w:r>
    </w:p>
    <w:p>
      <w:pPr>
        <w:spacing w:after="0" w:line="107"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On February 15, 2012, SAFE promulgated the Notice on Foreign Exchange Administration of PRC Residents Participating in Share Incentive Plans of Offshore Listed Companies, or the Stock Option Rules, replacing the previous rules issued by SAFE in March 2007. Under the Stock Option Rules and other relevant rules and regulations, PRC residents who participate in a stock incentive plan in an overseas publicly listed company are required to register with SAFE or its local branches and complete certain other procedures. Participants of a stock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265"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Regulations on Dividend Distribution</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principal regulations governing distribution of dividends of foreign-invested enterprises include the Foreign Investment Law and the PRC Company Law, which was issued by the SCNPC on 29 December 2003, the latest effective amendment of which became effective from July 1, 2024. Under these laws and regulations, wholly foreign-owned enterprises in China may pay dividends only out of their accumulated after-tax profits, if any, determined in accordance with China accounting standards and regulations. In addition, wholly foreign-owned enterprises in China are required to allocate at least 10% of their respective accumulated profits each year, if any, to fund certain reserve funds until these reserves have reached 50% of the registered capital of the enterprises. Wholly foreign-owned companies may, at their discretion, allocate a portion of their after-tax profits based on China accounting standards to staff welfare and bonus funds. These reserves are not distributable as cash dividends.</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relating to Tax</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Enterprise Income Tax</w:t>
      </w:r>
    </w:p>
    <w:p>
      <w:pPr>
        <w:spacing w:after="0" w:line="9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Under the Enterprise Income Tax Law of the PRC, or the EIT Law, which was last amended and became effective on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the PRC with its “de facto management bodies” located within the PRC is considered a “resident enterprise,” meaning that it can be treated in a manner similar to a PRC</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5" w:name="page236"/>
    <w:bookmarkEnd w:id="23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65"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The EIT Law and the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and based on the Announcement on Relevant Issues Concerning the “Beneficial Owners” in Tax Treaties issued on February 3, 2018 by the SAT and effective on April 1, 2018, which replaces the Notice on the Interpretation and Recognition of Beneficial Owners in Tax Treaties and the Announcement on the Recognition of Beneficial Owners in Tax Treaties by the SAT, comprehensive analysis based on the stipulated factor therein and actual circumstances shall be adopted when recognizing the “beneficial owner” and agents and designated wire beneficiaries are specifically excluded from being recognized as “beneficial owners.”</w:t>
      </w:r>
    </w:p>
    <w:p>
      <w:pPr>
        <w:spacing w:after="0" w:line="229"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On February 3, 2015, the SAT issued the Circular on Issues of Enterprise Income Tax on Indirect Transfers of Assets by Non -PRC-resident Enterprises or the SAT Circular 7. Pursuant to SAT Circular 7, an “indirect transfer” of assets, including equity interests in a PRC resident enterprise, by non-PRC-resident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Circular 7, where the payer fails to withhold any or sufficient tax, the transferor shall declare and pay such tax to the tax authority by itself within the statutory time limit. Late payment of applicable tax will subject the transferor to default interest. SAT Circular 7 does not apply to transactions of sale of shares by investors through a public stock exchange where such shares were acquired on a public stock exchange.</w:t>
      </w:r>
    </w:p>
    <w:p>
      <w:pPr>
        <w:spacing w:after="0" w:line="22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On October 17, 2017, the SAT issued the Circular on Issues of Tax Withholding Regarding Non-PRC-resident Enterprise Income Tax, or the SAT Circular 37, which was amended by the Announcement of the State Administration of Taxation on Revising Certain Taxation Normative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6" w:name="page237"/>
    <w:bookmarkEnd w:id="23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Documents issued on June 15, 2018 by the SAT. SAT Circular 37 further elaborates the relevant implemental rules regarding the calculation, reporting and payment obligations of the withholding tax by the non -resident enterprises. Nonetheless, there remain uncertainties as to the interpretation and application of SAT Circular 7. SAT Circular 7 may be determined by the tax authorities to be applicable to our offshore transactions or sale of our shares or those of our offshore subsidiaries where non-resident enterprises, being the transferors, were involved.</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Value-added Tax</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Pursuant to applicable PRC regulations promulgated by the Ministry of Finance and the SAT, any entity or individual conducting business in the service industry is required to pay a valued-added tax, or VAT, with respect to revenues derived from the provision of services. A taxpayer is allowed to offset the qualified input VAT paid on taxable purchases against the output VAT chargeable on the revenue from services provided.</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relating to Employment Laws</w:t>
      </w:r>
    </w:p>
    <w:p>
      <w:pPr>
        <w:spacing w:after="0" w:line="10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Pursuant to the Labor Law of the PRC, the Labor Contract Law of the PRC and the Implementing Regulations of the Employment Contracts Law, labor relationships between employers and employees must be executed in written form. Wages may not be lower than the local minimum wage. Employers must establish a system for labor safety and sanitation, strictly abide by state standards and provide relevant education to its employees. Employees are also required to work in safe and sanitary conditions.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Under the PRC laws, rules and regulations, including the Social Insurance Law, the Interim Regulations on the Collection and Payment of Social Security Funds and the Regulations on the Administration of Housing Accumulation Funds, employers are required to contribute, on behalf of their employees, to a number of social security funds, including funds for basic pension insurance, unemployment insurance, basic medical insurance, occupational injury insurance, maternity leave insurance and housing accumulation funds. These payments are made to local administrative authorities and any employer who fails to contribute may be fined and ordered to pay the deficit amount.</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Regulations on Anti-Monopoly and Anti-Unfair Competition Laws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Anti-Monopoly Laws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SCNPC promulgated the Anti-Monopoly Law of the PRC, or the Anti-Monopoly Law, on August 30,2007, which was last amended on June 24, 2022 and became effective on August 1, 2022, prohibiting monopolistic conduct such as entering into monopoly agreements, abuse of dominant market position and concentration of undertakings that have the effect of eliminating or restricting competition.</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Pursuant to the Anti-Monopoly Law, competing business operators may not enter into monopoly agreements that eliminate or restrict competition, such as by fixing or changing the price of commodities, limiting the production quantity or sale quantity of commodities, fixing the price of commodities for resale to third party, or conducting jointly boycotting transactions. Such acts are prohibited unless the underlying agreements satisfy the regulatory exemptions for, among others, improving technologies, increasing the efficiency and competitiveness of small and medium-sized undertakings, or safeguarding legitimate interests in cross-border trade and economic cooperation with foreign counterparts. Sanctions for violation of such prohibitions include an order to cease the relevant activities, and confiscation of illegal gains and fines ranging from 1% to 10% of the sales revenues from the previous year, or if no sales revenue was made in the previous year, a fine of not more than RMB5,000,000, or RMB3,000,000 if the intended monopoly agreement has been entered into but not been performed.</w:t>
      </w:r>
    </w:p>
    <w:p>
      <w:pPr>
        <w:spacing w:after="0" w:line="11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7" w:name="page238"/>
    <w:bookmarkEnd w:id="23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addition, under the Anti-Monopoly Law, a business operator with a dominant market position may not abuse its dominant market position to, among others, (i) sell commodities at unfairly high prices or purchase commodities at unfairly low prices; (ii) sell products at prices below cost without any justifiable cause; and (iii) refuse to trade with a trading party without any justifiable cause. Sanctions for such abuses include an order to cease the relevant activities, and confiscation of the illegal gains and fines ranging from 1% to 10% of sales revenues from the previous year.</w:t>
      </w:r>
    </w:p>
    <w:p>
      <w:pPr>
        <w:spacing w:after="0" w:line="86" w:lineRule="exact"/>
        <w:rPr>
          <w:sz w:val="20"/>
          <w:szCs w:val="20"/>
          <w:color w:val="auto"/>
        </w:rPr>
      </w:pPr>
    </w:p>
    <w:p>
      <w:pPr>
        <w:jc w:val="both"/>
        <w:ind w:left="1420" w:right="1398" w:firstLine="249"/>
        <w:spacing w:after="0"/>
        <w:rPr>
          <w:sz w:val="20"/>
          <w:szCs w:val="20"/>
          <w:color w:val="auto"/>
        </w:rPr>
      </w:pPr>
      <w:r>
        <w:rPr>
          <w:rFonts w:ascii="Arial" w:cs="Arial" w:eastAsia="Arial" w:hAnsi="Arial"/>
          <w:sz w:val="14"/>
          <w:szCs w:val="14"/>
          <w:color w:val="auto"/>
        </w:rPr>
        <w:t>Furthermore, where a concentration of undertakings reaches the declaration threshold stipulated by the State Council, a declaration must be approved by the anti-monopoly authority before the parties implement the concentration. Under the relevant provisions, concentration refers to</w:t>
      </w:r>
    </w:p>
    <w:p>
      <w:pPr>
        <w:ind w:left="1600" w:hanging="185"/>
        <w:spacing w:after="0" w:line="234" w:lineRule="auto"/>
        <w:tabs>
          <w:tab w:leader="none" w:pos="16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mergers; (ii) acquisition of control over other undertakings by acquiring equities or assets; or</w:t>
      </w:r>
    </w:p>
    <w:p>
      <w:pPr>
        <w:jc w:val="both"/>
        <w:ind w:left="1420" w:right="1398" w:hanging="5"/>
        <w:spacing w:after="0" w:line="234" w:lineRule="auto"/>
        <w:tabs>
          <w:tab w:leader="none" w:pos="165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acquisition of control over or the possibility of exercising decisive influence on an undertaking by contract or by any other means. If business operators fail to comply with the mandatory declaration requirement, the anti-monopoly authority is empowered to terminate and/or unwind the transaction, dispose of relevant assets and shares or businesses within certain periods, as well as impose a fine of not more than 10% of sales revenues from the previous year if the concentration of undertakings has or may have an effect of excluding or limiting competition, or a fine of not more than RMB5,000,000 if the concentration of undertakings does not have an effect of excluding or limiting competition.</w:t>
      </w:r>
    </w:p>
    <w:p>
      <w:pPr>
        <w:spacing w:after="0" w:line="85"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On February 7, 2021, the Anti-Monopoly Committee of the State Council promulgated the Anti-Monopoly Guidelines for the Internet Platform Economy Sector, aiming to provide guidelines for supervising and prohibiting monopolistic conduct in connection with the internet platform business operations and further elaborate on the factors for recognizing such monopolistic conduct in the internet platform industry. Pursuant to these guidelines, the methods used by an internet platform collecting or using the private information of internet users may also be one of the factors to be considered when analyzing and recognizing monopolistic conducts. For example, whether the relevant business operator compulsorily collects unnecessary user information may be considered when analyzing whether there is a bundled sale or additional unreasonable trading condition, which are behaviors that constitute abuse of dominant market position. In addition, providing differentiated transaction prices or imposing other transaction conditions for consumers with different payment ability based on consumption preferences and usage habits through big data and algorithms analysis is also one of the behaviors that constitute abuse of dominant market position. Furthermore, whether the relevant business operators are required to choose conclusively among the internet platform and its competitive platforms may be considered when analyzing whether such internet platform operator abuses its dominant market position and excludes or restricts market competition. On November 15, 2021, the SAMR promulgated the Overseas Anti-monopoly Compliance Guidelines for Enterprises, which is aimed at helping PRC companies establish and strengthen overseas anti-monopoly compliance systems to reduce overseas anti-monopoly compliance risks. The Guidelines apply to both PRC enterprises that conduct business and operation overseas and PRC enterprises that conduct business and operations in the PRC and may have certain impacts on overseas markets, in particular for those that conduct import and export trade, overseas investments, acquisition, transfer or license of intellectual properties and tendering and bidding activities. However, as these guidelines were only issued recently, their interpretation and implementation in practice are still subject to changes and may continue to evolve.</w:t>
      </w:r>
    </w:p>
    <w:p>
      <w:pPr>
        <w:spacing w:after="0" w:line="13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Anti-Unfair Competition Laws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According to the Anti-Unfair Competition Law promulgated by the Standing Committee of the National People’s Congress on September 2, 1993, which was last amended on June 27, 2025 and became effective on October 15, 2025, operators are prohibited from engaging in unfair competition activities such as market confusion, commercial bribery, misleading false publicity, infringement on trade secrets, price dumping and illegitimate premium sales.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8" w:name="page239"/>
    <w:bookmarkEnd w:id="23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4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M&amp;A Rules and Regulations on Overseas Listings</w:t>
      </w:r>
    </w:p>
    <w:p>
      <w:pPr>
        <w:spacing w:after="0" w:line="10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According to the Rules on the Merger and Acquisition of Domestic Enterprises by Foreign Investors, or the Circular 10, which were issued jointly by six PRC governmental and regulatory agencies, including MOFCOM, SAFE and the CSRC on August 8, 2006, effective on September 8, 2006 and further amended on June 22, 2009 by MOFCOM, a foreign investor is required to obtain necessary approvals when it (i) acquires the equity of a domestic enterprise so as to convert the domestic enterprise into a foreign-invested enterprise; (ii) subscribes the increased capital of a domestic enterprise so as to convert the domestic enterprise into a foreign-invested enterprise;</w:t>
      </w:r>
    </w:p>
    <w:p>
      <w:pPr>
        <w:spacing w:after="0" w:line="4" w:lineRule="exact"/>
        <w:rPr>
          <w:sz w:val="20"/>
          <w:szCs w:val="20"/>
          <w:color w:val="auto"/>
        </w:rPr>
      </w:pPr>
    </w:p>
    <w:p>
      <w:pPr>
        <w:jc w:val="both"/>
        <w:ind w:left="1420" w:right="1398" w:hanging="5"/>
        <w:spacing w:after="0" w:line="238" w:lineRule="auto"/>
        <w:tabs>
          <w:tab w:leader="none" w:pos="165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establishes a foreign-invested enterprise through purchasing the assets of a domestic enterprise and operating these assets; or (iv) purchases the assets of a domestic enterprise and then invests such assets to establish a foreign-invested enterprise.</w:t>
      </w:r>
    </w:p>
    <w:p>
      <w:pPr>
        <w:spacing w:after="0" w:line="8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On February 17, 2023, the CSRC promulgated Trial Administrative Measures of the Overseas Securities Offering and Listing by Domestic Companies, and five relevant supporting guidelines, together as the New Overseas Listing Rules, which became effective on March 31, 2023. The New Overseas Listing Rules will regulate both direct and indirect overseas offering and listing by PRC domestic companies by adopting a filing-based regulatory regime. According to the New Overseas Listing Rules, PRC domestic companies that seek to offer and list securities in overseas markets, either in direct or indirect means, are required to complete the filing procedure with the CSRC and report relevant information. The New Overseas Listing Rules provide that no overseas listing or offering shall be made under any of the following circumstances: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w:t>
      </w:r>
    </w:p>
    <w:p>
      <w:pPr>
        <w:spacing w:after="0" w:line="2" w:lineRule="exact"/>
        <w:rPr>
          <w:sz w:val="20"/>
          <w:szCs w:val="20"/>
          <w:color w:val="auto"/>
        </w:rPr>
      </w:pPr>
    </w:p>
    <w:p>
      <w:pPr>
        <w:jc w:val="both"/>
        <w:ind w:left="1420" w:right="1398" w:hanging="5"/>
        <w:spacing w:after="0" w:line="234" w:lineRule="auto"/>
        <w:tabs>
          <w:tab w:leader="none" w:pos="164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where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or (v) where there are material ownership disputes over equity held by the domestic company’s controlling shareholder(s) or by other shareholder(s) that are controlled by the controlling shareholder(s) and/or actual controller.</w:t>
      </w:r>
    </w:p>
    <w:p>
      <w:pPr>
        <w:spacing w:after="0" w:line="7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New Overseas Listing Rules also provide that if the issuer meets the following criteria at the same time, the overseas securities offering and listing conducted by such issuer will be deemed as indirect overseas offering subject to the filing procedures as set forth under the New Overseas Listing Rules: (i) 50% or more of the issuer’s operating revenue, total profit, total assets or net assets as documented in its audited combined financial statements for the most recent accounting year is accounted for by domestic companies; and (ii) the main parts of the issuer’s business activities are conducted in the mainland China, or its main places of business are located in the mainland China, or the senior managers in charge of its business operations and management are mostly Chinese citizens or domiciled in the mainland China. According to the New Overseas Listing Rules, the issuer shall file with the CSRC within three business days after its initial application for the nonpublic review by the SEC is submitted, and the issuer shall report to the CSRC within three business days since its first public filing day. Furthermore, the issuer shall also report to the CSRC with the offering when finished the overseas offering. The New Overseas Listing Rules also require a subsequent overseas securities offering in the same overseas market to be filed within three business days after the completion of such subsequent offering, and subsequent reports to be filed with the CSRC on material events within three business days after the occurrence and public disclosure of such material events, such as change of control or voluntary or forced delisting of the issuer who have completed overseas offerings and listings.</w:t>
      </w:r>
    </w:p>
    <w:p>
      <w:pPr>
        <w:spacing w:after="0" w:line="12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39" w:name="page240"/>
    <w:bookmarkEnd w:id="23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On February 24, 2023, the CSRC, together with other governmental authorities, released the Provisions on Strengthening the Confidentiality and Archives Administration Related to the Overseas Securities Offering and Listing by Domestic Enterprises, or the Confidentiality and Archives Administration Provisions, which became effective on March 31, 2023. The Confidentiality and Archives Administration Provisions are designed to expand the applicable scope of the regulation to indirect overseas offerings and listings by PRC domestic companies with an emphasis on the confidentiality and archive management duties of PRC domestic companies during the process of overseas offerings and listings. Pursuant to the Confidentiality and Archives Administration Provisions, such domestic companies shall establish the confidentiality and archives system. Bedsides, the domestic companies, securities companies and securities service providers shall first obtain approval from the CSRC or other competent Chinese authorities before cooperating with the inspection and investigation by the overseas securities regulator or competent overseas authority, or providing documents and materials requested during such inspection and investigation.</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0" w:name="page241"/>
    <w:bookmarkEnd w:id="24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MANAGEMENT</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Directors and Executive Officers</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sets forth information regarding our directors and executive officers as of the date of this prospectus.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Directors and Executive Officers</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80" w:type="dxa"/>
            <w:vAlign w:val="bottom"/>
          </w:tcPr>
          <w:p>
            <w:pPr>
              <w:spacing w:after="0"/>
              <w:rPr>
                <w:sz w:val="13"/>
                <w:szCs w:val="13"/>
                <w:color w:val="auto"/>
              </w:rPr>
            </w:pPr>
          </w:p>
        </w:tc>
        <w:tc>
          <w:tcPr>
            <w:tcW w:w="3480" w:type="dxa"/>
            <w:vAlign w:val="bottom"/>
            <w:tcBorders>
              <w:bottom w:val="single" w:sz="8" w:color="auto"/>
            </w:tcBorders>
          </w:tcPr>
          <w:p>
            <w:pPr>
              <w:ind w:left="1400"/>
              <w:spacing w:after="0"/>
              <w:rPr>
                <w:sz w:val="20"/>
                <w:szCs w:val="20"/>
                <w:color w:val="auto"/>
              </w:rPr>
            </w:pPr>
            <w:r>
              <w:rPr>
                <w:rFonts w:ascii="Arial" w:cs="Arial" w:eastAsia="Arial" w:hAnsi="Arial"/>
                <w:sz w:val="11"/>
                <w:szCs w:val="11"/>
                <w:b w:val="1"/>
                <w:bCs w:val="1"/>
                <w:color w:val="auto"/>
              </w:rPr>
              <w:t>Position/Title</w:t>
            </w: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Junhong Yao</w:t>
            </w:r>
          </w:p>
        </w:tc>
        <w:tc>
          <w:tcPr>
            <w:tcW w:w="480" w:type="dxa"/>
            <w:vAlign w:val="bottom"/>
            <w:gridSpan w:val="2"/>
            <w:shd w:val="clear" w:color="auto" w:fill="CCEEFF"/>
          </w:tcPr>
          <w:p>
            <w:pPr>
              <w:jc w:val="center"/>
              <w:ind w:left="11"/>
              <w:spacing w:after="0"/>
              <w:rPr>
                <w:sz w:val="20"/>
                <w:szCs w:val="20"/>
                <w:color w:val="auto"/>
              </w:rPr>
            </w:pPr>
            <w:r>
              <w:rPr>
                <w:rFonts w:ascii="Arial" w:cs="Arial" w:eastAsia="Arial" w:hAnsi="Arial"/>
                <w:sz w:val="14"/>
                <w:szCs w:val="14"/>
                <w:color w:val="auto"/>
              </w:rPr>
              <w:t>52</w:t>
            </w:r>
          </w:p>
        </w:tc>
        <w:tc>
          <w:tcPr>
            <w:tcW w:w="3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Founder, Director and Chief Executive Officer</w:t>
            </w:r>
          </w:p>
        </w:tc>
      </w:tr>
      <w:tr>
        <w:trPr>
          <w:trHeight w:val="209"/>
        </w:trPr>
        <w:tc>
          <w:tcPr>
            <w:tcW w:w="2180" w:type="dxa"/>
            <w:vAlign w:val="bottom"/>
          </w:tcPr>
          <w:p>
            <w:pPr>
              <w:spacing w:after="0"/>
              <w:rPr>
                <w:sz w:val="20"/>
                <w:szCs w:val="20"/>
                <w:color w:val="auto"/>
              </w:rPr>
            </w:pPr>
            <w:r>
              <w:rPr>
                <w:rFonts w:ascii="Arial" w:cs="Arial" w:eastAsia="Arial" w:hAnsi="Arial"/>
                <w:sz w:val="14"/>
                <w:szCs w:val="14"/>
                <w:color w:val="auto"/>
              </w:rPr>
              <w:t>Liyu Zhang</w:t>
            </w:r>
          </w:p>
        </w:tc>
        <w:tc>
          <w:tcPr>
            <w:tcW w:w="480" w:type="dxa"/>
            <w:vAlign w:val="bottom"/>
            <w:gridSpan w:val="2"/>
          </w:tcPr>
          <w:p>
            <w:pPr>
              <w:jc w:val="center"/>
              <w:ind w:left="11"/>
              <w:spacing w:after="0"/>
              <w:rPr>
                <w:sz w:val="20"/>
                <w:szCs w:val="20"/>
                <w:color w:val="auto"/>
              </w:rPr>
            </w:pPr>
            <w:r>
              <w:rPr>
                <w:rFonts w:ascii="Arial" w:cs="Arial" w:eastAsia="Arial" w:hAnsi="Arial"/>
                <w:sz w:val="14"/>
                <w:szCs w:val="14"/>
                <w:color w:val="auto"/>
              </w:rPr>
              <w:t>44</w:t>
            </w:r>
          </w:p>
        </w:tc>
        <w:tc>
          <w:tcPr>
            <w:tcW w:w="3560" w:type="dxa"/>
            <w:vAlign w:val="bottom"/>
            <w:gridSpan w:val="2"/>
          </w:tcPr>
          <w:p>
            <w:pPr>
              <w:ind w:left="80"/>
              <w:spacing w:after="0"/>
              <w:rPr>
                <w:sz w:val="20"/>
                <w:szCs w:val="20"/>
                <w:color w:val="auto"/>
              </w:rPr>
            </w:pPr>
            <w:r>
              <w:rPr>
                <w:rFonts w:ascii="Arial" w:cs="Arial" w:eastAsia="Arial" w:hAnsi="Arial"/>
                <w:sz w:val="14"/>
                <w:szCs w:val="14"/>
                <w:color w:val="auto"/>
              </w:rPr>
              <w:t>Co-founder, Director and Senior Vice President</w:t>
            </w:r>
          </w:p>
        </w:tc>
      </w:tr>
      <w:tr>
        <w:trPr>
          <w:trHeight w:val="22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Qin Zou</w:t>
            </w:r>
          </w:p>
        </w:tc>
        <w:tc>
          <w:tcPr>
            <w:tcW w:w="480" w:type="dxa"/>
            <w:vAlign w:val="bottom"/>
            <w:gridSpan w:val="2"/>
            <w:shd w:val="clear" w:color="auto" w:fill="CCEEFF"/>
          </w:tcPr>
          <w:p>
            <w:pPr>
              <w:jc w:val="center"/>
              <w:ind w:left="11"/>
              <w:spacing w:after="0"/>
              <w:rPr>
                <w:sz w:val="20"/>
                <w:szCs w:val="20"/>
                <w:color w:val="auto"/>
              </w:rPr>
            </w:pPr>
            <w:r>
              <w:rPr>
                <w:rFonts w:ascii="Arial" w:cs="Arial" w:eastAsia="Arial" w:hAnsi="Arial"/>
                <w:sz w:val="14"/>
                <w:szCs w:val="14"/>
                <w:color w:val="auto"/>
              </w:rPr>
              <w:t>46</w:t>
            </w:r>
          </w:p>
        </w:tc>
        <w:tc>
          <w:tcPr>
            <w:tcW w:w="3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Director and Chief Financial Officer</w:t>
            </w:r>
          </w:p>
        </w:tc>
      </w:tr>
      <w:tr>
        <w:trPr>
          <w:trHeight w:val="209"/>
        </w:trPr>
        <w:tc>
          <w:tcPr>
            <w:tcW w:w="2180" w:type="dxa"/>
            <w:vAlign w:val="bottom"/>
          </w:tcPr>
          <w:p>
            <w:pPr>
              <w:spacing w:after="0"/>
              <w:rPr>
                <w:sz w:val="20"/>
                <w:szCs w:val="20"/>
                <w:color w:val="auto"/>
              </w:rPr>
            </w:pPr>
            <w:r>
              <w:rPr>
                <w:rFonts w:ascii="Arial" w:cs="Arial" w:eastAsia="Arial" w:hAnsi="Arial"/>
                <w:sz w:val="14"/>
                <w:szCs w:val="14"/>
                <w:color w:val="auto"/>
              </w:rPr>
              <w:t>Gongwei Zhang</w:t>
            </w:r>
          </w:p>
        </w:tc>
        <w:tc>
          <w:tcPr>
            <w:tcW w:w="480" w:type="dxa"/>
            <w:vAlign w:val="bottom"/>
            <w:gridSpan w:val="2"/>
          </w:tcPr>
          <w:p>
            <w:pPr>
              <w:jc w:val="center"/>
              <w:ind w:left="11"/>
              <w:spacing w:after="0"/>
              <w:rPr>
                <w:sz w:val="20"/>
                <w:szCs w:val="20"/>
                <w:color w:val="auto"/>
              </w:rPr>
            </w:pPr>
            <w:r>
              <w:rPr>
                <w:rFonts w:ascii="Arial" w:cs="Arial" w:eastAsia="Arial" w:hAnsi="Arial"/>
                <w:sz w:val="14"/>
                <w:szCs w:val="14"/>
                <w:color w:val="auto"/>
              </w:rPr>
              <w:t>52</w:t>
            </w:r>
          </w:p>
        </w:tc>
        <w:tc>
          <w:tcPr>
            <w:tcW w:w="3560" w:type="dxa"/>
            <w:vAlign w:val="bottom"/>
            <w:gridSpan w:val="2"/>
          </w:tcPr>
          <w:p>
            <w:pPr>
              <w:ind w:left="80"/>
              <w:spacing w:after="0"/>
              <w:rPr>
                <w:sz w:val="20"/>
                <w:szCs w:val="20"/>
                <w:color w:val="auto"/>
              </w:rPr>
            </w:pPr>
            <w:r>
              <w:rPr>
                <w:rFonts w:ascii="Arial" w:cs="Arial" w:eastAsia="Arial" w:hAnsi="Arial"/>
                <w:sz w:val="14"/>
                <w:szCs w:val="14"/>
                <w:color w:val="auto"/>
              </w:rPr>
              <w:t>Senior Vice President</w:t>
            </w:r>
          </w:p>
        </w:tc>
      </w:tr>
      <w:tr>
        <w:trPr>
          <w:trHeight w:val="22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Bofei Kong</w:t>
            </w:r>
          </w:p>
        </w:tc>
        <w:tc>
          <w:tcPr>
            <w:tcW w:w="480" w:type="dxa"/>
            <w:vAlign w:val="bottom"/>
            <w:gridSpan w:val="2"/>
            <w:shd w:val="clear" w:color="auto" w:fill="CCEEFF"/>
          </w:tcPr>
          <w:p>
            <w:pPr>
              <w:jc w:val="center"/>
              <w:ind w:left="11"/>
              <w:spacing w:after="0"/>
              <w:rPr>
                <w:sz w:val="20"/>
                <w:szCs w:val="20"/>
                <w:color w:val="auto"/>
              </w:rPr>
            </w:pPr>
            <w:r>
              <w:rPr>
                <w:rFonts w:ascii="Arial" w:cs="Arial" w:eastAsia="Arial" w:hAnsi="Arial"/>
                <w:sz w:val="14"/>
                <w:szCs w:val="14"/>
                <w:color w:val="auto"/>
              </w:rPr>
              <w:t>44</w:t>
            </w:r>
          </w:p>
        </w:tc>
        <w:tc>
          <w:tcPr>
            <w:tcW w:w="3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Co-founder, Director and Senior Vice President</w:t>
            </w:r>
          </w:p>
        </w:tc>
      </w:tr>
      <w:tr>
        <w:trPr>
          <w:trHeight w:val="209"/>
        </w:trPr>
        <w:tc>
          <w:tcPr>
            <w:tcW w:w="2180" w:type="dxa"/>
            <w:vAlign w:val="bottom"/>
          </w:tcPr>
          <w:p>
            <w:pPr>
              <w:spacing w:after="0"/>
              <w:rPr>
                <w:sz w:val="20"/>
                <w:szCs w:val="20"/>
                <w:color w:val="auto"/>
              </w:rPr>
            </w:pPr>
            <w:r>
              <w:rPr>
                <w:rFonts w:ascii="Arial" w:cs="Arial" w:eastAsia="Arial" w:hAnsi="Arial"/>
                <w:sz w:val="14"/>
                <w:szCs w:val="14"/>
                <w:color w:val="auto"/>
              </w:rPr>
              <w:t>Yan Chen</w:t>
            </w:r>
          </w:p>
        </w:tc>
        <w:tc>
          <w:tcPr>
            <w:tcW w:w="480" w:type="dxa"/>
            <w:vAlign w:val="bottom"/>
            <w:gridSpan w:val="2"/>
          </w:tcPr>
          <w:p>
            <w:pPr>
              <w:jc w:val="center"/>
              <w:ind w:left="11"/>
              <w:spacing w:after="0"/>
              <w:rPr>
                <w:sz w:val="20"/>
                <w:szCs w:val="20"/>
                <w:color w:val="auto"/>
              </w:rPr>
            </w:pPr>
            <w:r>
              <w:rPr>
                <w:rFonts w:ascii="Arial" w:cs="Arial" w:eastAsia="Arial" w:hAnsi="Arial"/>
                <w:sz w:val="14"/>
                <w:szCs w:val="14"/>
                <w:color w:val="auto"/>
              </w:rPr>
              <w:t>42</w:t>
            </w:r>
          </w:p>
        </w:tc>
        <w:tc>
          <w:tcPr>
            <w:tcW w:w="3560" w:type="dxa"/>
            <w:vAlign w:val="bottom"/>
            <w:gridSpan w:val="2"/>
          </w:tcPr>
          <w:p>
            <w:pPr>
              <w:ind w:left="80"/>
              <w:spacing w:after="0"/>
              <w:rPr>
                <w:sz w:val="20"/>
                <w:szCs w:val="20"/>
                <w:color w:val="auto"/>
              </w:rPr>
            </w:pPr>
            <w:r>
              <w:rPr>
                <w:rFonts w:ascii="Arial" w:cs="Arial" w:eastAsia="Arial" w:hAnsi="Arial"/>
                <w:sz w:val="14"/>
                <w:szCs w:val="14"/>
                <w:color w:val="auto"/>
              </w:rPr>
              <w:t>Independent Director</w:t>
            </w:r>
          </w:p>
        </w:tc>
      </w:tr>
      <w:tr>
        <w:trPr>
          <w:trHeight w:val="22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Jia He</w:t>
            </w:r>
          </w:p>
        </w:tc>
        <w:tc>
          <w:tcPr>
            <w:tcW w:w="480" w:type="dxa"/>
            <w:vAlign w:val="bottom"/>
            <w:gridSpan w:val="2"/>
            <w:shd w:val="clear" w:color="auto" w:fill="CCEEFF"/>
          </w:tcPr>
          <w:p>
            <w:pPr>
              <w:jc w:val="center"/>
              <w:ind w:left="11"/>
              <w:spacing w:after="0"/>
              <w:rPr>
                <w:sz w:val="20"/>
                <w:szCs w:val="20"/>
                <w:color w:val="auto"/>
              </w:rPr>
            </w:pPr>
            <w:r>
              <w:rPr>
                <w:rFonts w:ascii="Arial" w:cs="Arial" w:eastAsia="Arial" w:hAnsi="Arial"/>
                <w:sz w:val="14"/>
                <w:szCs w:val="14"/>
                <w:color w:val="auto"/>
              </w:rPr>
              <w:t>71</w:t>
            </w:r>
          </w:p>
        </w:tc>
        <w:tc>
          <w:tcPr>
            <w:tcW w:w="3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Independent Director</w:t>
            </w:r>
          </w:p>
        </w:tc>
      </w:tr>
      <w:tr>
        <w:trPr>
          <w:trHeight w:val="200"/>
        </w:trPr>
        <w:tc>
          <w:tcPr>
            <w:tcW w:w="2180" w:type="dxa"/>
            <w:vAlign w:val="bottom"/>
          </w:tcPr>
          <w:p>
            <w:pPr>
              <w:spacing w:after="0"/>
              <w:rPr>
                <w:sz w:val="20"/>
                <w:szCs w:val="20"/>
                <w:color w:val="auto"/>
              </w:rPr>
            </w:pPr>
            <w:r>
              <w:rPr>
                <w:rFonts w:ascii="Arial" w:cs="Arial" w:eastAsia="Arial" w:hAnsi="Arial"/>
                <w:sz w:val="14"/>
                <w:szCs w:val="14"/>
                <w:color w:val="auto"/>
              </w:rPr>
              <w:t>Danni Tang</w:t>
            </w:r>
          </w:p>
        </w:tc>
        <w:tc>
          <w:tcPr>
            <w:tcW w:w="480" w:type="dxa"/>
            <w:vAlign w:val="bottom"/>
            <w:gridSpan w:val="2"/>
          </w:tcPr>
          <w:p>
            <w:pPr>
              <w:jc w:val="center"/>
              <w:ind w:left="11"/>
              <w:spacing w:after="0"/>
              <w:rPr>
                <w:sz w:val="20"/>
                <w:szCs w:val="20"/>
                <w:color w:val="auto"/>
              </w:rPr>
            </w:pPr>
            <w:r>
              <w:rPr>
                <w:rFonts w:ascii="Arial" w:cs="Arial" w:eastAsia="Arial" w:hAnsi="Arial"/>
                <w:sz w:val="14"/>
                <w:szCs w:val="14"/>
                <w:color w:val="auto"/>
              </w:rPr>
              <w:t>39</w:t>
            </w:r>
          </w:p>
        </w:tc>
        <w:tc>
          <w:tcPr>
            <w:tcW w:w="3560" w:type="dxa"/>
            <w:vAlign w:val="bottom"/>
            <w:gridSpan w:val="2"/>
          </w:tcPr>
          <w:p>
            <w:pPr>
              <w:ind w:left="80"/>
              <w:spacing w:after="0"/>
              <w:rPr>
                <w:sz w:val="20"/>
                <w:szCs w:val="20"/>
                <w:color w:val="auto"/>
              </w:rPr>
            </w:pPr>
            <w:r>
              <w:rPr>
                <w:rFonts w:ascii="Arial" w:cs="Arial" w:eastAsia="Arial" w:hAnsi="Arial"/>
                <w:sz w:val="14"/>
                <w:szCs w:val="14"/>
                <w:color w:val="auto"/>
              </w:rPr>
              <w:t>Independent Director</w:t>
            </w:r>
          </w:p>
        </w:tc>
      </w:tr>
    </w:tbl>
    <w:p>
      <w:pPr>
        <w:spacing w:after="0" w:line="16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Executive Officers and Directors</w:t>
      </w:r>
    </w:p>
    <w:p>
      <w:pPr>
        <w:spacing w:after="0" w:line="107"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i w:val="1"/>
          <w:iCs w:val="1"/>
          <w:color w:val="auto"/>
        </w:rPr>
        <w:t xml:space="preserve">Mr. Junhong Yao </w:t>
      </w:r>
      <w:r>
        <w:rPr>
          <w:rFonts w:ascii="Arial" w:cs="Arial" w:eastAsia="Arial" w:hAnsi="Arial"/>
          <w:sz w:val="13"/>
          <w:szCs w:val="13"/>
          <w:color w:val="auto"/>
        </w:rPr>
        <w:t>founded our company in 2012 and serves as our chief executive officer. Mr. Yao</w:t>
      </w:r>
      <w:r>
        <w:rPr>
          <w:rFonts w:ascii="Arial" w:cs="Arial" w:eastAsia="Arial" w:hAnsi="Arial"/>
          <w:sz w:val="13"/>
          <w:szCs w:val="13"/>
          <w:i w:val="1"/>
          <w:iCs w:val="1"/>
          <w:color w:val="auto"/>
        </w:rPr>
        <w:t xml:space="preserve"> </w:t>
      </w:r>
      <w:r>
        <w:rPr>
          <w:rFonts w:ascii="Arial" w:cs="Arial" w:eastAsia="Arial" w:hAnsi="Arial"/>
          <w:sz w:val="13"/>
          <w:szCs w:val="13"/>
          <w:color w:val="auto"/>
        </w:rPr>
        <w:t>is a serial entrepreneur with over 21 years of experience in car-related industries. Prior to founding our company, Mr. Yao was the co-founder and the COO of CAR Inc., China’s leading car rental company. Prior to that, Mr. Yao was a vice-president of sales and marketing for UAA Beijing from 2005 to 2007, the general manager of Huaxia United from 2003 to 2005, and a software engineer at the Guangzhou Baiyun International Airport Computer Information Management Center. Mr. Yao received a bachelor’s degree in computer application from Nanjing University of Aeronautics and Astronautics in 1995 and an MBA degree from the Chinese University of Hong Kong in 2007.</w:t>
      </w:r>
    </w:p>
    <w:p>
      <w:pPr>
        <w:spacing w:after="0" w:line="63"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i w:val="1"/>
          <w:iCs w:val="1"/>
          <w:color w:val="auto"/>
        </w:rPr>
        <w:t xml:space="preserve">Mr. Liyu Zhang </w:t>
      </w:r>
      <w:r>
        <w:rPr>
          <w:rFonts w:ascii="Arial" w:cs="Arial" w:eastAsia="Arial" w:hAnsi="Arial"/>
          <w:sz w:val="14"/>
          <w:szCs w:val="14"/>
          <w:color w:val="auto"/>
        </w:rPr>
        <w:t>co-founded our company with Mr. Junhong Yao in 2012 and serves as our director</w:t>
      </w:r>
      <w:r>
        <w:rPr>
          <w:rFonts w:ascii="Arial" w:cs="Arial" w:eastAsia="Arial" w:hAnsi="Arial"/>
          <w:sz w:val="14"/>
          <w:szCs w:val="14"/>
          <w:i w:val="1"/>
          <w:iCs w:val="1"/>
          <w:color w:val="auto"/>
        </w:rPr>
        <w:t xml:space="preserve"> </w:t>
      </w:r>
      <w:r>
        <w:rPr>
          <w:rFonts w:ascii="Arial" w:cs="Arial" w:eastAsia="Arial" w:hAnsi="Arial"/>
          <w:sz w:val="14"/>
          <w:szCs w:val="14"/>
          <w:color w:val="auto"/>
        </w:rPr>
        <w:t>and senior vice president. Prior to founding our company, Mr. Zhang held various financial director and vice president positions in several companies operating in car-related industries, including Shanghai Oriental Auto Parts City Co., Ltd. from January 2009 to September 2012, Lamba (Napa-China) Auto Parts Chain Stores Co., Ltd. from September 2005 to December 2008, and Shanghai Oriental Auto Parts City Co., Ltd. from July 2003 to September 2005, where he oversaw commercial real estate operations, investment and financing, and other finance-related matters. Mr. Zhang received a bachelor’s degree from Shanghai Lixin University of Accounting and Finance in 2003. Mr. Zhang received an MBA degree from Donghua University in 2011 and a Master of Finance degree from Tulane University in 2018.</w:t>
      </w:r>
    </w:p>
    <w:p>
      <w:pPr>
        <w:spacing w:after="0" w:line="8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i w:val="1"/>
          <w:iCs w:val="1"/>
          <w:color w:val="auto"/>
        </w:rPr>
        <w:t xml:space="preserve">Ms. Qin Zou </w:t>
      </w:r>
      <w:r>
        <w:rPr>
          <w:rFonts w:ascii="Arial" w:cs="Arial" w:eastAsia="Arial" w:hAnsi="Arial"/>
          <w:sz w:val="14"/>
          <w:szCs w:val="14"/>
          <w:color w:val="auto"/>
        </w:rPr>
        <w:t>has served as our chief financial officer since 2021 and our director since 2023. Prior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to joining us, Ms. Zou was the founder and the chief executive officer of </w:t>
      </w:r>
      <w:r>
        <w:rPr>
          <w:rFonts w:ascii="Arial" w:cs="Arial" w:eastAsia="Arial" w:hAnsi="Arial"/>
          <w:sz w:val="14"/>
          <w:szCs w:val="14"/>
          <w:i w:val="1"/>
          <w:iCs w:val="1"/>
          <w:color w:val="auto"/>
        </w:rPr>
        <w:t>myFlair</w:t>
      </w:r>
      <w:r>
        <w:rPr>
          <w:rFonts w:ascii="Arial" w:cs="Arial" w:eastAsia="Arial" w:hAnsi="Arial"/>
          <w:sz w:val="14"/>
          <w:szCs w:val="14"/>
          <w:color w:val="auto"/>
        </w:rPr>
        <w:t xml:space="preserve"> from 2018 to 2021. Prior to </w:t>
      </w:r>
      <w:r>
        <w:rPr>
          <w:rFonts w:ascii="Arial" w:cs="Arial" w:eastAsia="Arial" w:hAnsi="Arial"/>
          <w:sz w:val="14"/>
          <w:szCs w:val="14"/>
          <w:i w:val="1"/>
          <w:iCs w:val="1"/>
          <w:color w:val="auto"/>
        </w:rPr>
        <w:t>myFlair</w:t>
      </w:r>
      <w:r>
        <w:rPr>
          <w:rFonts w:ascii="Arial" w:cs="Arial" w:eastAsia="Arial" w:hAnsi="Arial"/>
          <w:sz w:val="14"/>
          <w:szCs w:val="14"/>
          <w:color w:val="auto"/>
        </w:rPr>
        <w:t xml:space="preserve">, Ms. Zou held several corporate executive positions from 2015 to 2017, including the chief financial officer of UCAR Inc. and the general counsel of the Lianjia Group. Prior to that, Ms. Zou practiced law at Davis Polk &amp; Wardwell LLP. Ms. Zou is a Certified Management Accountant and a member of the State Bar of California. Ms. Zou received a bachelor’s degree in law from Renmin University in 2002, a L.L.M. degree from Transnational Law and Business University in South Korea in 2004, and a J.D. degree,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from American University Washington College of Law in the United States in 2008.</w:t>
      </w:r>
    </w:p>
    <w:p>
      <w:pPr>
        <w:spacing w:after="0" w:line="8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i w:val="1"/>
          <w:iCs w:val="1"/>
          <w:color w:val="auto"/>
        </w:rPr>
        <w:t xml:space="preserve">Mr. Gongwei Zhang </w:t>
      </w:r>
      <w:r>
        <w:rPr>
          <w:rFonts w:ascii="Arial" w:cs="Arial" w:eastAsia="Arial" w:hAnsi="Arial"/>
          <w:sz w:val="14"/>
          <w:szCs w:val="14"/>
          <w:color w:val="auto"/>
        </w:rPr>
        <w:t>has served as our senior vice president since June 2023. Prior to that, Mr.</w:t>
      </w:r>
      <w:r>
        <w:rPr>
          <w:rFonts w:ascii="Arial" w:cs="Arial" w:eastAsia="Arial" w:hAnsi="Arial"/>
          <w:sz w:val="14"/>
          <w:szCs w:val="14"/>
          <w:i w:val="1"/>
          <w:iCs w:val="1"/>
          <w:color w:val="auto"/>
        </w:rPr>
        <w:t xml:space="preserve"> </w:t>
      </w:r>
      <w:r>
        <w:rPr>
          <w:rFonts w:ascii="Arial" w:cs="Arial" w:eastAsia="Arial" w:hAnsi="Arial"/>
          <w:sz w:val="14"/>
          <w:szCs w:val="14"/>
          <w:color w:val="auto"/>
        </w:rPr>
        <w:t>Zhang served as vice president of our company and president of our delivery services business from September 2018 to May 2023. Prior to joining us, Mr. Zhang founded IYunche (which was subsequently acquired by our company) and served as its chief executive officer from April 2015 to August 2018. Prior to that, Mr. Zhang was a co-founder and deputy general manager of Feipuyue Network Technology from January 2008 to October 2014. Mr. Zhang received a bachelor’s degree in computer software from Ningxia University in 1998 and an MBA degree with a focus on finance from the Chinese University of Hong Kong in 2007.</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1" w:name="page242"/>
    <w:bookmarkEnd w:id="24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i w:val="1"/>
          <w:iCs w:val="1"/>
          <w:color w:val="auto"/>
        </w:rPr>
        <w:t xml:space="preserve">Ms. Bofei Kong </w:t>
      </w:r>
      <w:r>
        <w:rPr>
          <w:rFonts w:ascii="Arial" w:cs="Arial" w:eastAsia="Arial" w:hAnsi="Arial"/>
          <w:sz w:val="14"/>
          <w:szCs w:val="14"/>
          <w:color w:val="auto"/>
        </w:rPr>
        <w:t>currently serves as our director and senior vice president. Prior to joining us as 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member of the founding team, Ms. Kong worked at Taobao from 2006 to 2012 where she played a significant role in founding Xianyu, previously known as </w:t>
      </w:r>
      <w:r>
        <w:rPr>
          <w:rFonts w:ascii="Arial" w:cs="Arial" w:eastAsia="Arial" w:hAnsi="Arial"/>
          <w:sz w:val="14"/>
          <w:szCs w:val="14"/>
          <w:i w:val="1"/>
          <w:iCs w:val="1"/>
          <w:color w:val="auto"/>
        </w:rPr>
        <w:t>Ershou.Taobao.Com</w:t>
      </w:r>
      <w:r>
        <w:rPr>
          <w:rFonts w:ascii="Arial" w:cs="Arial" w:eastAsia="Arial" w:hAnsi="Arial"/>
          <w:sz w:val="14"/>
          <w:szCs w:val="14"/>
          <w:color w:val="auto"/>
        </w:rPr>
        <w:t>, a leading second-hand transaction platform in China. Ms. Kong received a bachelor’s degree in electronic information from Hangzhou Dianzi University in 2003.</w:t>
      </w:r>
    </w:p>
    <w:p>
      <w:pPr>
        <w:spacing w:after="0" w:line="53"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i w:val="1"/>
          <w:iCs w:val="1"/>
          <w:color w:val="auto"/>
        </w:rPr>
        <w:t xml:space="preserve">Mr. Yan Chen </w:t>
      </w:r>
      <w:r>
        <w:rPr>
          <w:rFonts w:ascii="Arial" w:cs="Arial" w:eastAsia="Arial" w:hAnsi="Arial"/>
          <w:sz w:val="14"/>
          <w:szCs w:val="14"/>
          <w:color w:val="auto"/>
        </w:rPr>
        <w:t>has served as our director since 2023 and has been appointed as our independent</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 since June 2026. He has also been a managing partner at BAce Capital since January 2019. From June 2015 to April 2020, Mr. Chen served as a managing director for India &amp; Global Strategic Alliance at Ant Financial. Prior to that, Mr. Chen served as a director at North Asia (Greater China) &amp; Global Strategic Account at Teoco from May 2012 to June 2015. He also acted as an executive director at the Mumbai headquarters of ZTE India from October 2005 to November 2011. Mr. Chen received a bachelor’s degree in computer science from Zhejiang University in 2004.</w:t>
      </w:r>
    </w:p>
    <w:p>
      <w:pPr>
        <w:spacing w:after="0" w:line="55"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i w:val="1"/>
          <w:iCs w:val="1"/>
          <w:color w:val="auto"/>
        </w:rPr>
        <w:t xml:space="preserve">Dr. Jia He </w:t>
      </w:r>
      <w:r>
        <w:rPr>
          <w:rFonts w:ascii="Arial" w:cs="Arial" w:eastAsia="Arial" w:hAnsi="Arial"/>
          <w:sz w:val="13"/>
          <w:szCs w:val="13"/>
          <w:color w:val="auto"/>
        </w:rPr>
        <w:t>has served as our independent director since June 2026. Dr. He has served as an</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independent non-executive director in multiple listed companies. including Xinlong Holding (Group) Company Ltd. (SZSE: 000955) since February 2020, Bank of Tianjin Co., Ltd. (HKEx: 1578) since May 2018, and China Chengtong Development Group Limited (HKEx: 0217) since July 2015. Dr. He has over 20 years of experience in the finance and education industry. Dr. He is currently a chair professor at Shandong University. Prior to that, Dr. He was a chair professor at Southern University of Science and Technology of China from May 2014 to November 2020, a double -employed professor of Tsinghua University from September 2005 to December 2020, a professor of the Chinese University of Hong Kong from August 1998 to July 2015, the chair of the finance department of Shanghai Jiao Tong University from September 2006 to August 2007, a core professor of China Europe International Business School from September 2003 to August 2006, an associate professor of the Chinese University of Hong Kong from August 1996 to July 1998, an associate professor (life tenure) of the University of Houston from September 1991 to August 1999, an assistant professor of DePaul University from September 1989 to August 1991 and an assistant professor of Baruch College of City University of New York from September 1988 to August 1989. Dr. He received a bachelor’s degree in mathematics from Heilongjiang University in 1978, a double master’s degree in computer science and decision science engineering from Shanghai Jiao Tong University in 1983, and a Ph.D. degree in finance from the Wharton School of the University of Pennsylvania in 1988.</w:t>
      </w:r>
    </w:p>
    <w:p>
      <w:pPr>
        <w:spacing w:after="0" w:line="205"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i w:val="1"/>
          <w:iCs w:val="1"/>
          <w:color w:val="auto"/>
        </w:rPr>
        <w:t xml:space="preserve">Ms. Danni Tang </w:t>
      </w:r>
      <w:r>
        <w:rPr>
          <w:rFonts w:ascii="Arial" w:cs="Arial" w:eastAsia="Arial" w:hAnsi="Arial"/>
          <w:sz w:val="14"/>
          <w:szCs w:val="14"/>
          <w:color w:val="auto"/>
        </w:rPr>
        <w:t>has served as our independent director since June 2026. Ms. Tang is a co-founder of Hero Esports, and has served as its director since July 2020, and its chief executive officer since October 2024. She served as the chief financial officer of Hero Esports since its inception until October 2024. Ms. Tang also served as a vice president at China Development Bank Capital from October 2010 to February 2014. Prior to that, she worked at Kohlberg Kravis Roberts &amp; Co.’s U.S. and China offices from July 2007 to February 2010. Ms. Tang was named on the Esport Insider Hall of Fame in 2024. Ms. Tang received her bachelor’s degree in economics and mathematics with honors from Bryn Mawr College in 2007 and her master’s degree of science in management from Stanford University in 2020.</w:t>
      </w:r>
    </w:p>
    <w:p>
      <w:pPr>
        <w:spacing w:after="0" w:line="53"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For more information about certain shareholders’ rights to appoint directors to our Board, see “Description of Share Capital — Shareholders Agreement.” All such appointment rights will terminate upon the completion of this offering.</w:t>
      </w:r>
    </w:p>
    <w:p>
      <w:pPr>
        <w:spacing w:after="0" w:line="9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Employment Agreements and Indemnification Agreements</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have entered into employment agreements with each of our executive officers. Each of our executive officers is employed for an indefinite term, unless terminated pursuant to the terms of the agreements or as mutually agreed by the parties thereto. We may terminate an executive officer’s employment for cause at any time without advance notice in certain events. We may terminate an executive officer’s employment by giving a prior written notice or by paying certain unpaid compensation. An executive officer may terminate his or her employment at any time by giving a prior written notice.</w:t>
      </w:r>
    </w:p>
    <w:p>
      <w:pPr>
        <w:spacing w:after="0" w:line="55"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2" w:name="page243"/>
    <w:bookmarkEnd w:id="24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suppliers. In addition, each executive officer has agreed to be bound by certain non-competition and non-solicitation restrictions during the term of his or her employment and for a specific period of time following the last date of employment.</w:t>
      </w:r>
    </w:p>
    <w:p>
      <w:pPr>
        <w:spacing w:after="0" w:line="5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0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Board of Directors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Our board of directors consists of seven directors, including three independent directors, namely, Dr. Jia He, Ms. Danni Tang and Mr. Yan Chen.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65"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30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We have established an audit committee, a compensation committee and a nominating and corporate governance committee under our board of directors and adopted a charter for each of the three committees. Each committee’s members and functions are described below.</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Audit Committee. </w:t>
      </w:r>
      <w:r>
        <w:rPr>
          <w:rFonts w:ascii="Arial" w:cs="Arial" w:eastAsia="Arial" w:hAnsi="Arial"/>
          <w:sz w:val="14"/>
          <w:szCs w:val="14"/>
          <w:color w:val="auto"/>
        </w:rPr>
        <w:t>Our audit committee consist of Dr. Jia He, Ms. Danni Tang and Mr. Yan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Chen, and is chaired by Dr. Jia He. We have determined that each of Dr. Jia He, Ms. Danni Tang and Mr. Yan Chen satisfies the requirements of Rule 5605(c)(2) of the Listing Rules of the Nasdaq and meet the independence standards under Rule 10A-3 under the Securities Exchange Act of 1934, as amended. We have determined that each of Dr. Jia He, Ms. Danni Tang and Mr. Yan Chen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67" w:lineRule="exact"/>
        <w:rPr>
          <w:sz w:val="20"/>
          <w:szCs w:val="20"/>
          <w:color w:val="auto"/>
        </w:rPr>
      </w:pPr>
    </w:p>
    <w:p>
      <w:pPr>
        <w:jc w:val="both"/>
        <w:ind w:left="1800" w:right="1398" w:hanging="136"/>
        <w:spacing w:after="0" w:line="251" w:lineRule="auto"/>
        <w:tabs>
          <w:tab w:leader="none" w:pos="1804" w:val="left"/>
        </w:tabs>
        <w:numPr>
          <w:ilvl w:val="0"/>
          <w:numId w:val="112"/>
        </w:numPr>
        <w:rPr>
          <w:rFonts w:ascii="Arial" w:cs="Arial" w:eastAsia="Arial" w:hAnsi="Arial"/>
          <w:sz w:val="11"/>
          <w:szCs w:val="11"/>
          <w:color w:val="auto"/>
        </w:rPr>
      </w:pPr>
      <w:r>
        <w:rPr>
          <w:rFonts w:ascii="Arial" w:cs="Arial" w:eastAsia="Arial" w:hAnsi="Arial"/>
          <w:sz w:val="14"/>
          <w:szCs w:val="14"/>
          <w:color w:val="auto"/>
        </w:rPr>
        <w:t>the appointment, compensation, retention, termination, and oversight of the work of any accounting firm engaged for the purpose of preparing or issuing an audit report or performing other audit, review or attest services for our company;</w:t>
      </w:r>
    </w:p>
    <w:p>
      <w:pPr>
        <w:spacing w:after="0" w:line="55" w:lineRule="exact"/>
        <w:rPr>
          <w:rFonts w:ascii="Arial" w:cs="Arial" w:eastAsia="Arial" w:hAnsi="Arial"/>
          <w:sz w:val="11"/>
          <w:szCs w:val="11"/>
          <w:color w:val="auto"/>
        </w:rPr>
      </w:pPr>
    </w:p>
    <w:p>
      <w:pPr>
        <w:ind w:left="1800" w:right="1398" w:hanging="136"/>
        <w:spacing w:after="0" w:line="271" w:lineRule="auto"/>
        <w:tabs>
          <w:tab w:leader="none" w:pos="1783" w:val="left"/>
        </w:tabs>
        <w:numPr>
          <w:ilvl w:val="0"/>
          <w:numId w:val="112"/>
        </w:numPr>
        <w:rPr>
          <w:rFonts w:ascii="Arial" w:cs="Arial" w:eastAsia="Arial" w:hAnsi="Arial"/>
          <w:sz w:val="11"/>
          <w:szCs w:val="11"/>
          <w:color w:val="auto"/>
        </w:rPr>
      </w:pPr>
      <w:r>
        <w:rPr>
          <w:rFonts w:ascii="Arial" w:cs="Arial" w:eastAsia="Arial" w:hAnsi="Arial"/>
          <w:sz w:val="14"/>
          <w:szCs w:val="14"/>
          <w:color w:val="auto"/>
        </w:rPr>
        <w:t>pre-approving the audit services and non-audit services to be provided by our independent auditor;</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3" w:name="page244"/>
    <w:bookmarkEnd w:id="24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39" w:lineRule="auto"/>
        <w:tabs>
          <w:tab w:leader="none" w:pos="1783" w:val="left"/>
        </w:tabs>
        <w:numPr>
          <w:ilvl w:val="0"/>
          <w:numId w:val="113"/>
        </w:numPr>
        <w:rPr>
          <w:rFonts w:ascii="Arial" w:cs="Arial" w:eastAsia="Arial" w:hAnsi="Arial"/>
          <w:sz w:val="11"/>
          <w:szCs w:val="11"/>
          <w:color w:val="auto"/>
        </w:rPr>
      </w:pPr>
      <w:r>
        <w:rPr>
          <w:rFonts w:ascii="Arial" w:cs="Arial" w:eastAsia="Arial" w:hAnsi="Arial"/>
          <w:sz w:val="14"/>
          <w:szCs w:val="14"/>
          <w:color w:val="auto"/>
        </w:rPr>
        <w:t>at least annually (i) obtaining and reviewing a report or reports from our independent auditor, (ii) reviewing and evaluating the lead audit partner of the independent auditor team(s), as well as other senior members, (iii) confirming, evaluating and considering the rotation of the independent auditor and audit partners on the audit engagement team as required by law, and (iv) obtaining the opinion of management and the internal auditors of the independent auditor’s performance;</w:t>
      </w:r>
    </w:p>
    <w:p>
      <w:pPr>
        <w:spacing w:after="0" w:line="86"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reviewing, discussing and approving our annual reports on Form 20-F, quarterly and interim earnings releases or other applicable filings with the SEC or other applicable authorities (including the financial statements and data disclosed therein);</w:t>
      </w:r>
    </w:p>
    <w:p>
      <w:pPr>
        <w:spacing w:after="0" w:line="75" w:lineRule="exact"/>
        <w:rPr>
          <w:rFonts w:ascii="Arial" w:cs="Arial" w:eastAsia="Arial" w:hAnsi="Arial"/>
          <w:sz w:val="11"/>
          <w:szCs w:val="11"/>
          <w:color w:val="auto"/>
        </w:rPr>
      </w:pPr>
    </w:p>
    <w:p>
      <w:pPr>
        <w:jc w:val="both"/>
        <w:ind w:left="1800" w:right="1398" w:hanging="136"/>
        <w:spacing w:after="0" w:line="239"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reviewing with management, the internal auditors and the independent auditor other material issues, materials, transactions and policies, including but not limited to analyses or written communications prepared by management and/or the independent auditor, the critical accounting policies and practices of our company, the effect of major transactions, related party transactions and any regulatory and accounting initiatives or major issues regarding accounting principles and financial statement presentations;</w:t>
      </w:r>
    </w:p>
    <w:p>
      <w:pPr>
        <w:spacing w:after="0" w:line="7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reviewing our disclosure controls and procedures and internal control over financial reporting, policies and practices with respect to risk assessment and risk management;</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reviewing with the independent registered public accounting firm any audit problems or difficulties and management’s response;</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reviewing and approving all proposed related party transactions;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at least annually, reviewing and reassessing the adequacy of the committee charter and recommending proposed changes to the board;</w:t>
      </w:r>
    </w:p>
    <w:p>
      <w:pPr>
        <w:spacing w:after="0" w:line="61"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discussing with the independent auditor its responsibilities under generally accepted auditing standards, reviewing and approving the planned scope and timing of the independent auditor’s annual audit plan(s) and discussing significant findings from the audit and any problems or difficulties encountered;</w:t>
      </w:r>
    </w:p>
    <w:p>
      <w:pPr>
        <w:spacing w:after="0" w:line="79"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establishing and overseeing procedures for the handling of complaints and whistleblowing regarding accounting, internal accounting controls or auditing matters;</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3"/>
        </w:numPr>
        <w:rPr>
          <w:rFonts w:ascii="Arial" w:cs="Arial" w:eastAsia="Arial" w:hAnsi="Arial"/>
          <w:sz w:val="11"/>
          <w:szCs w:val="11"/>
          <w:color w:val="auto"/>
        </w:rPr>
      </w:pPr>
      <w:r>
        <w:rPr>
          <w:rFonts w:ascii="Arial" w:cs="Arial" w:eastAsia="Arial" w:hAnsi="Arial"/>
          <w:sz w:val="14"/>
          <w:szCs w:val="14"/>
          <w:color w:val="auto"/>
        </w:rPr>
        <w:t>monitoring compliance with our code of business conduct and ethics, including reviewing the adequacy and effectiveness of our procedures to ensure proper compliance; and</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reporting regularly to the board.</w:t>
      </w:r>
    </w:p>
    <w:p>
      <w:pPr>
        <w:spacing w:after="0" w:line="7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Compensation Committee. </w:t>
      </w:r>
      <w:r>
        <w:rPr>
          <w:rFonts w:ascii="Arial" w:cs="Arial" w:eastAsia="Arial" w:hAnsi="Arial"/>
          <w:sz w:val="14"/>
          <w:szCs w:val="14"/>
          <w:color w:val="auto"/>
        </w:rPr>
        <w:t>Our compensation committee consists of Mr. Junhong Yao,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Ms. Qin Zou and Dr. Jia He and is chaired by Mr. Junhong Yao. We have determined that Dr. Jia He satisfies the “independence” requirements of Rule 5605(a)(2) of the Listing Rules of the Nasdaq. The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55" w:lineRule="exact"/>
        <w:rPr>
          <w:sz w:val="20"/>
          <w:szCs w:val="20"/>
          <w:color w:val="auto"/>
        </w:rPr>
      </w:pPr>
    </w:p>
    <w:p>
      <w:pPr>
        <w:ind w:left="1800" w:right="1398" w:hanging="136"/>
        <w:spacing w:after="0" w:line="271" w:lineRule="auto"/>
        <w:tabs>
          <w:tab w:leader="none" w:pos="1804" w:val="left"/>
        </w:tabs>
        <w:numPr>
          <w:ilvl w:val="0"/>
          <w:numId w:val="114"/>
        </w:numPr>
        <w:rPr>
          <w:rFonts w:ascii="Arial" w:cs="Arial" w:eastAsia="Arial" w:hAnsi="Arial"/>
          <w:sz w:val="11"/>
          <w:szCs w:val="11"/>
          <w:color w:val="auto"/>
        </w:rPr>
      </w:pPr>
      <w:r>
        <w:rPr>
          <w:rFonts w:ascii="Arial" w:cs="Arial" w:eastAsia="Arial" w:hAnsi="Arial"/>
          <w:sz w:val="14"/>
          <w:szCs w:val="14"/>
          <w:color w:val="auto"/>
        </w:rPr>
        <w:t>overseeing the development and implementation of compensation programs in consultation with our management;</w:t>
      </w:r>
    </w:p>
    <w:p>
      <w:pPr>
        <w:spacing w:after="0" w:line="30"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4"/>
        </w:numPr>
        <w:rPr>
          <w:rFonts w:ascii="Arial" w:cs="Arial" w:eastAsia="Arial" w:hAnsi="Arial"/>
          <w:sz w:val="11"/>
          <w:szCs w:val="11"/>
          <w:color w:val="auto"/>
        </w:rPr>
      </w:pPr>
      <w:r>
        <w:rPr>
          <w:rFonts w:ascii="Arial" w:cs="Arial" w:eastAsia="Arial" w:hAnsi="Arial"/>
          <w:sz w:val="14"/>
          <w:szCs w:val="14"/>
          <w:color w:val="auto"/>
        </w:rPr>
        <w:t>reviewing and approving, or recommending to the board for its approval, the compensation for our executive officers;</w:t>
      </w:r>
    </w:p>
    <w:p>
      <w:pPr>
        <w:spacing w:after="0" w:line="30" w:lineRule="exact"/>
        <w:rPr>
          <w:rFonts w:ascii="Arial" w:cs="Arial" w:eastAsia="Arial" w:hAnsi="Arial"/>
          <w:sz w:val="11"/>
          <w:szCs w:val="11"/>
          <w:color w:val="auto"/>
        </w:rPr>
      </w:pPr>
    </w:p>
    <w:p>
      <w:pPr>
        <w:jc w:val="both"/>
        <w:ind w:left="1800" w:right="1398" w:hanging="136"/>
        <w:spacing w:after="0" w:line="245" w:lineRule="auto"/>
        <w:tabs>
          <w:tab w:leader="none" w:pos="1783" w:val="left"/>
        </w:tabs>
        <w:numPr>
          <w:ilvl w:val="0"/>
          <w:numId w:val="114"/>
        </w:numPr>
        <w:rPr>
          <w:rFonts w:ascii="Arial" w:cs="Arial" w:eastAsia="Arial" w:hAnsi="Arial"/>
          <w:sz w:val="11"/>
          <w:szCs w:val="11"/>
          <w:color w:val="auto"/>
        </w:rPr>
      </w:pPr>
      <w:r>
        <w:rPr>
          <w:rFonts w:ascii="Arial" w:cs="Arial" w:eastAsia="Arial" w:hAnsi="Arial"/>
          <w:sz w:val="14"/>
          <w:szCs w:val="14"/>
          <w:color w:val="auto"/>
        </w:rPr>
        <w:t>reviewing our management succession planning, including policies for executive officers selection and succession in the event of the incapacitation, retirement or removal of the executive officers, and evaluations of, and development plans for, any potential successors to the executive officers;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4" w:name="page245"/>
    <w:bookmarkEnd w:id="24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1" w:lineRule="auto"/>
        <w:tabs>
          <w:tab w:leader="none" w:pos="1783" w:val="left"/>
        </w:tabs>
        <w:numPr>
          <w:ilvl w:val="0"/>
          <w:numId w:val="115"/>
        </w:numPr>
        <w:rPr>
          <w:rFonts w:ascii="Arial" w:cs="Arial" w:eastAsia="Arial" w:hAnsi="Arial"/>
          <w:sz w:val="11"/>
          <w:szCs w:val="11"/>
          <w:color w:val="auto"/>
        </w:rPr>
      </w:pPr>
      <w:r>
        <w:rPr>
          <w:rFonts w:ascii="Arial" w:cs="Arial" w:eastAsia="Arial" w:hAnsi="Arial"/>
          <w:sz w:val="14"/>
          <w:szCs w:val="14"/>
          <w:color w:val="auto"/>
        </w:rPr>
        <w:t>reviewing and evaluating our executive compensation and benefits policies generally, including the reviewing and recommending of any incentive-compensation and equity-based plans that are subject to board approval;</w:t>
      </w:r>
    </w:p>
    <w:p>
      <w:pPr>
        <w:spacing w:after="0" w:line="75"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15"/>
        </w:numPr>
        <w:rPr>
          <w:rFonts w:ascii="Arial" w:cs="Arial" w:eastAsia="Arial" w:hAnsi="Arial"/>
          <w:sz w:val="11"/>
          <w:szCs w:val="11"/>
          <w:color w:val="auto"/>
        </w:rPr>
      </w:pPr>
      <w:r>
        <w:rPr>
          <w:rFonts w:ascii="Arial" w:cs="Arial" w:eastAsia="Arial" w:hAnsi="Arial"/>
          <w:sz w:val="14"/>
          <w:szCs w:val="14"/>
          <w:color w:val="auto"/>
        </w:rPr>
        <w:t>reviewing and assessing risks arising from our employee compensation policies and practices and whether any such risks are reasonably likely to have a material adverse effect on our operations;</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at least annually, reviewing and reassessing the adequacy of the committee charter;</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5"/>
        </w:numPr>
        <w:rPr>
          <w:rFonts w:ascii="Arial" w:cs="Arial" w:eastAsia="Arial" w:hAnsi="Arial"/>
          <w:sz w:val="11"/>
          <w:szCs w:val="11"/>
          <w:color w:val="auto"/>
        </w:rPr>
      </w:pPr>
      <w:r>
        <w:rPr>
          <w:rFonts w:ascii="Arial" w:cs="Arial" w:eastAsia="Arial" w:hAnsi="Arial"/>
          <w:sz w:val="14"/>
          <w:szCs w:val="14"/>
          <w:color w:val="auto"/>
        </w:rPr>
        <w:t>selecting compensation consultant, legal counsel or other adviser only after taking into consideration all factors relevant to that person’s independence from management; and</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reporting regularly to the board.</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Nominating and Corporate Governance Committee. </w:t>
      </w:r>
      <w:r>
        <w:rPr>
          <w:rFonts w:ascii="Arial" w:cs="Arial" w:eastAsia="Arial" w:hAnsi="Arial"/>
          <w:sz w:val="14"/>
          <w:szCs w:val="14"/>
          <w:color w:val="auto"/>
        </w:rPr>
        <w:t>Our nominating and corporate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governance committee consists of Mr. Junhong Yao and Ms. Danni Tang, and is chaired by Mr. Junhong Yao. We have determined that Ms. Danni Tang satisfies the “independence” requirements of Rule 5605(a)(2)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76" w:lineRule="exact"/>
        <w:rPr>
          <w:sz w:val="20"/>
          <w:szCs w:val="20"/>
          <w:color w:val="auto"/>
        </w:rPr>
      </w:pPr>
    </w:p>
    <w:p>
      <w:pPr>
        <w:jc w:val="both"/>
        <w:ind w:left="1800" w:right="1398" w:hanging="136"/>
        <w:spacing w:after="0" w:line="251" w:lineRule="auto"/>
        <w:tabs>
          <w:tab w:leader="none" w:pos="1804" w:val="left"/>
        </w:tabs>
        <w:numPr>
          <w:ilvl w:val="0"/>
          <w:numId w:val="116"/>
        </w:numPr>
        <w:rPr>
          <w:rFonts w:ascii="Arial" w:cs="Arial" w:eastAsia="Arial" w:hAnsi="Arial"/>
          <w:sz w:val="11"/>
          <w:szCs w:val="11"/>
          <w:color w:val="auto"/>
        </w:rPr>
      </w:pPr>
      <w:r>
        <w:rPr>
          <w:rFonts w:ascii="Arial" w:cs="Arial" w:eastAsia="Arial" w:hAnsi="Arial"/>
          <w:sz w:val="14"/>
          <w:szCs w:val="14"/>
          <w:color w:val="auto"/>
        </w:rPr>
        <w:t>overseeing searches for and identifying qualified individuals for membership on the board and recommending individuals for membership on the board and its committees for approval by the board and/or the shareholders, if applicable;</w:t>
      </w:r>
    </w:p>
    <w:p>
      <w:pPr>
        <w:spacing w:after="0" w:line="75"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116"/>
        </w:numPr>
        <w:rPr>
          <w:rFonts w:ascii="Arial" w:cs="Arial" w:eastAsia="Arial" w:hAnsi="Arial"/>
          <w:sz w:val="11"/>
          <w:szCs w:val="11"/>
          <w:color w:val="auto"/>
        </w:rPr>
      </w:pPr>
      <w:r>
        <w:rPr>
          <w:rFonts w:ascii="Arial" w:cs="Arial" w:eastAsia="Arial" w:hAnsi="Arial"/>
          <w:sz w:val="14"/>
          <w:szCs w:val="14"/>
          <w:color w:val="auto"/>
        </w:rPr>
        <w:t>at least annually, leading the board in a self-evaluation to determine whether it and its committees are functioning effectively, and reviewing the evaluations prepared by each board committee of such committee’s performance and considering any recommendations for proposed changes to the board;</w:t>
      </w:r>
    </w:p>
    <w:p>
      <w:pPr>
        <w:spacing w:after="0" w:line="79" w:lineRule="exact"/>
        <w:rPr>
          <w:rFonts w:ascii="Arial" w:cs="Arial" w:eastAsia="Arial" w:hAnsi="Arial"/>
          <w:sz w:val="11"/>
          <w:szCs w:val="11"/>
          <w:color w:val="auto"/>
        </w:rPr>
      </w:pPr>
    </w:p>
    <w:p>
      <w:pPr>
        <w:ind w:left="1800" w:hanging="136"/>
        <w:spacing w:after="0"/>
        <w:tabs>
          <w:tab w:leader="none" w:pos="1800" w:val="left"/>
        </w:tabs>
        <w:numPr>
          <w:ilvl w:val="0"/>
          <w:numId w:val="116"/>
        </w:numPr>
        <w:rPr>
          <w:rFonts w:ascii="Arial" w:cs="Arial" w:eastAsia="Arial" w:hAnsi="Arial"/>
          <w:sz w:val="11"/>
          <w:szCs w:val="11"/>
          <w:color w:val="auto"/>
        </w:rPr>
      </w:pPr>
      <w:r>
        <w:rPr>
          <w:rFonts w:ascii="Arial" w:cs="Arial" w:eastAsia="Arial" w:hAnsi="Arial"/>
          <w:sz w:val="14"/>
          <w:szCs w:val="14"/>
          <w:color w:val="auto"/>
        </w:rPr>
        <w:t>overseeing an orientation and continuing education program for directors;</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6"/>
        </w:numPr>
        <w:rPr>
          <w:rFonts w:ascii="Arial" w:cs="Arial" w:eastAsia="Arial" w:hAnsi="Arial"/>
          <w:sz w:val="11"/>
          <w:szCs w:val="11"/>
          <w:color w:val="auto"/>
        </w:rPr>
      </w:pPr>
      <w:r>
        <w:rPr>
          <w:rFonts w:ascii="Arial" w:cs="Arial" w:eastAsia="Arial" w:hAnsi="Arial"/>
          <w:sz w:val="14"/>
          <w:szCs w:val="14"/>
          <w:color w:val="auto"/>
        </w:rPr>
        <w:t>at least annually, evaluating its own performance and reporting to the board on such evaluation;</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6"/>
        </w:numPr>
        <w:rPr>
          <w:rFonts w:ascii="Arial" w:cs="Arial" w:eastAsia="Arial" w:hAnsi="Arial"/>
          <w:sz w:val="11"/>
          <w:szCs w:val="11"/>
          <w:color w:val="auto"/>
        </w:rPr>
      </w:pPr>
      <w:r>
        <w:rPr>
          <w:rFonts w:ascii="Arial" w:cs="Arial" w:eastAsia="Arial" w:hAnsi="Arial"/>
          <w:sz w:val="14"/>
          <w:szCs w:val="14"/>
          <w:color w:val="auto"/>
        </w:rPr>
        <w:t>reviewing and reassessing the adequacy of the committee charter and recommending proposed changes to the board; and</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16"/>
        </w:numPr>
        <w:rPr>
          <w:rFonts w:ascii="Arial" w:cs="Arial" w:eastAsia="Arial" w:hAnsi="Arial"/>
          <w:sz w:val="11"/>
          <w:szCs w:val="11"/>
          <w:color w:val="auto"/>
        </w:rPr>
      </w:pPr>
      <w:r>
        <w:rPr>
          <w:rFonts w:ascii="Arial" w:cs="Arial" w:eastAsia="Arial" w:hAnsi="Arial"/>
          <w:sz w:val="14"/>
          <w:szCs w:val="14"/>
          <w:color w:val="auto"/>
        </w:rPr>
        <w:t>reviewing and approving compensation (including equity-based compensation) for our directors.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Duties and Functions of Directors</w:t>
      </w:r>
    </w:p>
    <w:p>
      <w:pPr>
        <w:spacing w:after="0" w:line="98"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post-offering amended and restated articles of association,</w:t>
      </w:r>
    </w:p>
    <w:p>
      <w:pPr>
        <w:spacing w:after="0" w:line="26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5" w:name="page246"/>
    <w:bookmarkEnd w:id="24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the functions and powers of our board of directors include, among others, (i) convening general meetings and reporting its work to shareholders at such meetings, (ii) declaring dividends (including interim dividends) and other distributions on shares in issue and authorize payment of the dividends or distributions out of the funds of our company lawfully available therefor, (iii) appointing officers and secretary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Terms of Directors and Officers</w:t>
      </w:r>
    </w:p>
    <w:p>
      <w:pPr>
        <w:spacing w:after="0" w:line="98"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color w:val="auto"/>
        </w:rPr>
        <w:t>Our officers are elected by and serve at the discretion of the board. A director shall hold office until the expiration of his or her term, if applicable, or his or her successor shall have been elected and qualified, or until his or her office is otherwise vacated. A director may be removed from office by an ordinary resolution of shareholders or the affirmative vote of a simple majority of the other directors present and voting at a board meeting, provided that the chairman of the board may only be removed by the affirmative vote of all directors or by a special resolution of shareholders. If a Management Director (as defined under the post-offering amended and restated memorandum and articles of association) is removed from office or otherwise ceases to be a director, Mr. Junhong Yao shall have the right to appoint another person as a director and as replacement of the former Management Director by delivering a written notice to us and such replacement shall become effective automatically upon the delivery of such notice without any further action or resolution of the directors or shareholders, provided that Mr. Junhong Yao shall not be entitled to exercise such right if he and his affiliates do not beneficially own any shares. Mr. Junhong Yao may remove any Management Director from office at any time by delivering a written notice to us and such removal shall become effective automatically upon the delivery of such notice without any further action or resolution of the directors or shareholders.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w:t>
      </w:r>
    </w:p>
    <w:p>
      <w:pPr>
        <w:spacing w:after="0" w:line="150" w:lineRule="exact"/>
        <w:rPr>
          <w:sz w:val="20"/>
          <w:szCs w:val="20"/>
          <w:color w:val="auto"/>
        </w:rPr>
      </w:pPr>
    </w:p>
    <w:p>
      <w:pPr>
        <w:ind w:left="1420" w:right="1398" w:hanging="5"/>
        <w:spacing w:after="0" w:line="244" w:lineRule="auto"/>
        <w:tabs>
          <w:tab w:leader="none" w:pos="1627"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is removed from office pursuant to any other provision of our post offering amended and restated memorandum and articles of association.</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Interested Transactions</w:t>
      </w:r>
    </w:p>
    <w:p>
      <w:pPr>
        <w:spacing w:after="0" w:line="8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Compensation of Directors and Executive Officers</w:t>
      </w:r>
    </w:p>
    <w:p>
      <w:pPr>
        <w:spacing w:after="0" w:line="8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2025, we paid an aggregate of RMB5.6 million (US$0.8 million) in cash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 Share Option Plans.”</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Share Option Plans</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Souche Incentive Plan</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Souche Holdings Ltd adopted the Share Option Plan 2019, or the Souche Incentive Plan, in 2019. In October 2022, in connection with the Restructuring, the Company adopted the Share Option Plan 2022, or the 2022 Plan, which was subsequently amended and restated to mirror the Souche Incentive Plan. All</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6" w:name="page247"/>
    <w:bookmarkEnd w:id="24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of the then-outstanding and unvested awards granted under the Souche Incentive Plan were reflected by the share-based awards granted under, and governed by the terms and conditions of, the 2022 Plan.</w:t>
      </w:r>
    </w:p>
    <w:p>
      <w:pPr>
        <w:spacing w:after="0" w:line="11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2023 Plan</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adopted the 2022 Plan in October 2022. This plan was subsequently amended and restated in August 2023 and further amended in April 2024 (such plan, as amended and restated, the “2023 Plan”). The purpose of the 2023 Plan is to recognize and reward participants for their contribution to our company, to attract suitable personnel and to provide incentives to them to remain with and further contribute to us.</w:t>
      </w:r>
    </w:p>
    <w:p>
      <w:pPr>
        <w:spacing w:after="0" w:line="63"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Under the 2023 Plan, the maximum number of ordinary shares we are authorized to issue pursuant to equity awards granted thereunder, subject to certain adjustments pursuant to the terms thereof, is 95,487,753 ordinary shares, which have been reserved for issuance pursuant to the 2023 Plan accordingly. The maximum number of shares under the 2023 Plan shall automatically increase on the completion date of the initial public offering and each anniversary thereof during the term of the 2023 Plan, by an additional amount equal to 1.5% of the total issued and outstanding ordinary shares as of the last day of the immediately preceding fiscal year. The maximum number of shares under the 2023 Plan may be further increased or amended by the Board from time to time. As of the date of this prospectus, there are 94,715,674 ordinary shares issuable upon exercise of outstanding options or other share-based awards granted under the 2023 Plan, 52,792,488 of which reflected awards granted under the Souche Incentive Plan.</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paragraphs summarize the key terms of the 2023 Plan.</w:t>
      </w:r>
    </w:p>
    <w:p>
      <w:pPr>
        <w:spacing w:after="0" w:line="98" w:lineRule="exact"/>
        <w:rPr>
          <w:sz w:val="20"/>
          <w:szCs w:val="20"/>
          <w:color w:val="auto"/>
        </w:rPr>
      </w:pPr>
    </w:p>
    <w:p>
      <w:pPr>
        <w:ind w:left="1660"/>
        <w:spacing w:after="0"/>
        <w:tabs>
          <w:tab w:leader="none" w:pos="2920" w:val="left"/>
        </w:tabs>
        <w:rPr>
          <w:sz w:val="20"/>
          <w:szCs w:val="20"/>
          <w:color w:val="auto"/>
        </w:rPr>
      </w:pPr>
      <w:r>
        <w:rPr>
          <w:rFonts w:ascii="Arial" w:cs="Arial" w:eastAsia="Arial" w:hAnsi="Arial"/>
          <w:sz w:val="14"/>
          <w:szCs w:val="14"/>
          <w:b w:val="1"/>
          <w:bCs w:val="1"/>
          <w:i w:val="1"/>
          <w:iCs w:val="1"/>
          <w:color w:val="auto"/>
        </w:rPr>
        <w:t>Types of Awards.</w:t>
      </w:r>
      <w:r>
        <w:rPr>
          <w:sz w:val="20"/>
          <w:szCs w:val="20"/>
          <w:color w:val="auto"/>
        </w:rPr>
        <w:tab/>
      </w:r>
      <w:r>
        <w:rPr>
          <w:rFonts w:ascii="Arial" w:cs="Arial" w:eastAsia="Arial" w:hAnsi="Arial"/>
          <w:sz w:val="13"/>
          <w:szCs w:val="13"/>
          <w:color w:val="auto"/>
        </w:rPr>
        <w:t>The 2023 Plan permits the awards of options.</w:t>
      </w:r>
    </w:p>
    <w:p>
      <w:pPr>
        <w:spacing w:after="0" w:line="8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b w:val="1"/>
          <w:bCs w:val="1"/>
          <w:i w:val="1"/>
          <w:iCs w:val="1"/>
          <w:color w:val="auto"/>
        </w:rPr>
        <w:t xml:space="preserve">Plan Administration. </w:t>
      </w:r>
      <w:r>
        <w:rPr>
          <w:rFonts w:ascii="Arial" w:cs="Arial" w:eastAsia="Arial" w:hAnsi="Arial"/>
          <w:sz w:val="14"/>
          <w:szCs w:val="14"/>
          <w:color w:val="auto"/>
        </w:rPr>
        <w:t>The 2023 Plan shall be subject to the administration of Mr. Junhong Yao,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founder, in accordance with the terms and conditions of the 2023 Plan.</w:t>
      </w:r>
    </w:p>
    <w:p>
      <w:pPr>
        <w:spacing w:after="0" w:line="4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Eligibility. </w:t>
      </w:r>
      <w:r>
        <w:rPr>
          <w:rFonts w:ascii="Arial" w:cs="Arial" w:eastAsia="Arial" w:hAnsi="Arial"/>
          <w:sz w:val="14"/>
          <w:szCs w:val="14"/>
          <w:color w:val="auto"/>
        </w:rPr>
        <w:t>Equity awards authorized under the 2023 Plan may be granted to any full-time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 or any other persons who devote substantially all of their time and efforts to our business, management and operation, as determined by the founder.</w:t>
      </w:r>
    </w:p>
    <w:p>
      <w:pPr>
        <w:spacing w:after="0" w:line="6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Notice of Grant. </w:t>
      </w:r>
      <w:r>
        <w:rPr>
          <w:rFonts w:ascii="Arial" w:cs="Arial" w:eastAsia="Arial" w:hAnsi="Arial"/>
          <w:sz w:val="14"/>
          <w:szCs w:val="14"/>
          <w:color w:val="auto"/>
        </w:rPr>
        <w:t>Each award under the 2023 Plan shall be evidenced by a letter of offer,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subject to modifications as the founder may from time to time determine. The equity awards shall be deemed to have been granted and accepted and to have taken effect when an acceptance form is completed, signed and returned by the grantee, and is received by the Company at its principal office or such other address otherwise specified in the offer document on or before relevant applicable acceptance date. The equity awards underlying the 2023 Plan typically vest in four years, and the grantees shall not exercise the equity awards before the completion of this offering.</w:t>
      </w:r>
    </w:p>
    <w:p>
      <w:pPr>
        <w:spacing w:after="0" w:line="6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b w:val="1"/>
          <w:bCs w:val="1"/>
          <w:i w:val="1"/>
          <w:iCs w:val="1"/>
          <w:color w:val="auto"/>
        </w:rPr>
        <w:t xml:space="preserve">Transfer Restrictions. </w:t>
      </w:r>
      <w:r>
        <w:rPr>
          <w:rFonts w:ascii="Arial" w:cs="Arial" w:eastAsia="Arial" w:hAnsi="Arial"/>
          <w:sz w:val="14"/>
          <w:szCs w:val="14"/>
          <w:color w:val="auto"/>
        </w:rPr>
        <w:t>The equity award is personal to the grantee and shall not be assignable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no grantee shall in any way sell, transfer, charge, mortgage, encumber or create an interest (legal or beneficial) in favor of any third party over or in relation to any option grant or attempt so to do, except with the prior written consent of our founder from time to time.</w:t>
      </w:r>
    </w:p>
    <w:p>
      <w:pPr>
        <w:spacing w:after="0" w:line="4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b w:val="1"/>
          <w:bCs w:val="1"/>
          <w:i w:val="1"/>
          <w:iCs w:val="1"/>
          <w:color w:val="auto"/>
        </w:rPr>
        <w:t xml:space="preserve">Voting Power. </w:t>
      </w:r>
      <w:r>
        <w:rPr>
          <w:rFonts w:ascii="Arial" w:cs="Arial" w:eastAsia="Arial" w:hAnsi="Arial"/>
          <w:sz w:val="14"/>
          <w:szCs w:val="14"/>
          <w:color w:val="auto"/>
        </w:rPr>
        <w:t>The grantee irrevocably and unconditionally constitutes and appoints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founder with full power of substitution as the grantee’s true and lawful attorney and irrevocable proxy, for and in the grantee’s name, to vote each of the shares allotted upon the exercise of an option as the grantee’s proxy, at every meeting of the shareholders of the Company or any adjournment thereof or in connection with any written consent of the Company’s shareholders.</w:t>
      </w:r>
    </w:p>
    <w:p>
      <w:pPr>
        <w:spacing w:after="0" w:line="8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b w:val="1"/>
          <w:bCs w:val="1"/>
          <w:i w:val="1"/>
          <w:iCs w:val="1"/>
          <w:color w:val="auto"/>
        </w:rPr>
        <w:t xml:space="preserve">Amendment of the 2023 Plan. </w:t>
      </w:r>
      <w:r>
        <w:rPr>
          <w:rFonts w:ascii="Arial" w:cs="Arial" w:eastAsia="Arial" w:hAnsi="Arial"/>
          <w:sz w:val="14"/>
          <w:szCs w:val="14"/>
          <w:color w:val="auto"/>
        </w:rPr>
        <w:t>The 2023 Plan may be altered in any respect by resolution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Board, except for the provisions as otherwise set forth under the 2023 Plan.</w:t>
      </w:r>
    </w:p>
    <w:p>
      <w:pPr>
        <w:spacing w:after="0" w:line="51"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Termination of the 2023 Plan. </w:t>
      </w:r>
      <w:r>
        <w:rPr>
          <w:rFonts w:ascii="Arial" w:cs="Arial" w:eastAsia="Arial" w:hAnsi="Arial"/>
          <w:sz w:val="14"/>
          <w:szCs w:val="14"/>
          <w:color w:val="auto"/>
        </w:rPr>
        <w:t>The Company, by ordinary resolution of the shareholders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meeting or resolution of the Board, may at any time terminate the operation of the 2023 Plan, and in such event no further options will be offered but in all other respects the provisions of</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7" w:name="page248"/>
    <w:bookmarkEnd w:id="24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71" w:lineRule="auto"/>
        <w:rPr>
          <w:sz w:val="20"/>
          <w:szCs w:val="20"/>
          <w:color w:val="auto"/>
        </w:rPr>
      </w:pPr>
      <w:r>
        <w:rPr>
          <w:rFonts w:ascii="Arial" w:cs="Arial" w:eastAsia="Arial" w:hAnsi="Arial"/>
          <w:sz w:val="14"/>
          <w:szCs w:val="14"/>
          <w:color w:val="auto"/>
        </w:rPr>
        <w:t>the 2023 Plan shall remain in force and options granted prior to such termination shall continue to be valid and exercisable in accordance with the 2023 Plan.</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table summarizes, as of the date of this prospectus, the number of ordinary shares underlying outstanding options and other equity awards granted to our directors and executive officers under the 2023 Plan:</w:t>
      </w:r>
    </w:p>
    <w:p>
      <w:pPr>
        <w:spacing w:after="0" w:line="103"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Ordinary Shares</w:t>
            </w: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25"/>
        </w:trPr>
        <w:tc>
          <w:tcPr>
            <w:tcW w:w="1320" w:type="dxa"/>
            <w:vAlign w:val="bottom"/>
          </w:tcPr>
          <w:p>
            <w:pPr>
              <w:spacing w:after="0"/>
              <w:rPr>
                <w:sz w:val="10"/>
                <w:szCs w:val="10"/>
                <w:color w:val="auto"/>
              </w:rPr>
            </w:pPr>
          </w:p>
        </w:tc>
        <w:tc>
          <w:tcPr>
            <w:tcW w:w="104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w w:val="99"/>
              </w:rPr>
              <w:t>Underlying Equity</w:t>
            </w:r>
          </w:p>
        </w:tc>
        <w:tc>
          <w:tcPr>
            <w:tcW w:w="156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rPr>
              <w:t>Exercise Price</w:t>
            </w:r>
          </w:p>
        </w:tc>
        <w:tc>
          <w:tcPr>
            <w:tcW w:w="1260" w:type="dxa"/>
            <w:vAlign w:val="bottom"/>
            <w:gridSpan w:val="2"/>
          </w:tcPr>
          <w:p>
            <w:pPr>
              <w:jc w:val="center"/>
              <w:ind w:right="120"/>
              <w:spacing w:after="0" w:line="125" w:lineRule="exact"/>
              <w:rPr>
                <w:sz w:val="20"/>
                <w:szCs w:val="20"/>
                <w:color w:val="auto"/>
              </w:rPr>
            </w:pPr>
            <w:r>
              <w:rPr>
                <w:rFonts w:ascii="Arial" w:cs="Arial" w:eastAsia="Arial" w:hAnsi="Arial"/>
                <w:sz w:val="11"/>
                <w:szCs w:val="11"/>
                <w:b w:val="1"/>
                <w:bCs w:val="1"/>
                <w:color w:val="auto"/>
              </w:rPr>
              <w:t>Date of</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6"/>
              </w:rPr>
              <w:t>Date of</w:t>
            </w:r>
          </w:p>
        </w:tc>
      </w:tr>
      <w:tr>
        <w:trPr>
          <w:trHeight w:val="166"/>
        </w:trPr>
        <w:tc>
          <w:tcPr>
            <w:tcW w:w="13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Awards Granted</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(US$/Share)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Grant</w:t>
            </w:r>
            <w:r>
              <w:rPr>
                <w:rFonts w:ascii="Arial" w:cs="Arial" w:eastAsia="Arial" w:hAnsi="Arial"/>
                <w:sz w:val="12"/>
                <w:szCs w:val="12"/>
                <w:b w:val="1"/>
                <w:bCs w:val="1"/>
                <w:color w:val="auto"/>
                <w:w w:val="97"/>
                <w:vertAlign w:val="superscript"/>
              </w:rPr>
              <w:t>(1)</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Expiration</w:t>
            </w:r>
          </w:p>
        </w:tc>
      </w:tr>
      <w:tr>
        <w:trPr>
          <w:trHeight w:val="208"/>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Junhong Yao</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4,581,000</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0.21091 to 0.47958</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July 26, 2023</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October 1, 2032</w:t>
            </w:r>
          </w:p>
        </w:tc>
      </w:tr>
      <w:tr>
        <w:trPr>
          <w:trHeight w:val="137"/>
        </w:trPr>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7" w:lineRule="exact"/>
              <w:rPr>
                <w:sz w:val="20"/>
                <w:szCs w:val="20"/>
                <w:color w:val="auto"/>
              </w:rPr>
            </w:pPr>
            <w:r>
              <w:rPr>
                <w:rFonts w:ascii="Arial" w:cs="Arial" w:eastAsia="Arial" w:hAnsi="Arial"/>
                <w:sz w:val="14"/>
                <w:szCs w:val="14"/>
                <w:color w:val="auto"/>
                <w:w w:val="98"/>
              </w:rPr>
              <w:t>From July 26, 2023</w:t>
            </w:r>
          </w:p>
        </w:tc>
        <w:tc>
          <w:tcPr>
            <w:tcW w:w="1040" w:type="dxa"/>
            <w:vAlign w:val="bottom"/>
          </w:tcPr>
          <w:p>
            <w:pPr>
              <w:spacing w:after="0"/>
              <w:rPr>
                <w:sz w:val="11"/>
                <w:szCs w:val="1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Liyu Zhang</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8,651,519</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0.0001 to 0.47958</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to May 26, 2026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October 1, 2032</w:t>
            </w:r>
          </w:p>
        </w:tc>
      </w:tr>
      <w:tr>
        <w:trPr>
          <w:trHeight w:val="146"/>
        </w:trPr>
        <w:tc>
          <w:tcPr>
            <w:tcW w:w="1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46" w:lineRule="exact"/>
              <w:rPr>
                <w:sz w:val="20"/>
                <w:szCs w:val="20"/>
                <w:color w:val="auto"/>
              </w:rPr>
            </w:pPr>
            <w:r>
              <w:rPr>
                <w:rFonts w:ascii="Arial" w:cs="Arial" w:eastAsia="Arial" w:hAnsi="Arial"/>
                <w:sz w:val="14"/>
                <w:szCs w:val="14"/>
                <w:color w:val="auto"/>
                <w:w w:val="98"/>
              </w:rPr>
              <w:t>From July 26, 2023</w:t>
            </w:r>
          </w:p>
        </w:tc>
        <w:tc>
          <w:tcPr>
            <w:tcW w:w="1040" w:type="dxa"/>
            <w:vAlign w:val="bottom"/>
            <w:shd w:val="clear" w:color="auto" w:fill="CCEEFF"/>
          </w:tcPr>
          <w:p>
            <w:pPr>
              <w:spacing w:after="0"/>
              <w:rPr>
                <w:sz w:val="12"/>
                <w:szCs w:val="12"/>
                <w:color w:val="auto"/>
              </w:rPr>
            </w:pPr>
          </w:p>
        </w:tc>
      </w:tr>
      <w:tr>
        <w:trPr>
          <w:trHeight w:val="205"/>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Qin Zou</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12,682,390</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0.0001 to 0.47958</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to May 26, 2026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October 1, 2032</w:t>
            </w:r>
          </w:p>
        </w:tc>
      </w:tr>
      <w:tr>
        <w:trPr>
          <w:trHeight w:val="137"/>
        </w:trPr>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7" w:lineRule="exact"/>
              <w:rPr>
                <w:sz w:val="20"/>
                <w:szCs w:val="20"/>
                <w:color w:val="auto"/>
              </w:rPr>
            </w:pPr>
            <w:r>
              <w:rPr>
                <w:rFonts w:ascii="Arial" w:cs="Arial" w:eastAsia="Arial" w:hAnsi="Arial"/>
                <w:sz w:val="14"/>
                <w:szCs w:val="14"/>
                <w:color w:val="auto"/>
                <w:w w:val="98"/>
              </w:rPr>
              <w:t>From July 26, 2023</w:t>
            </w:r>
          </w:p>
        </w:tc>
        <w:tc>
          <w:tcPr>
            <w:tcW w:w="1040" w:type="dxa"/>
            <w:vAlign w:val="bottom"/>
          </w:tcPr>
          <w:p>
            <w:pPr>
              <w:spacing w:after="0"/>
              <w:rPr>
                <w:sz w:val="11"/>
                <w:szCs w:val="1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Gongwei Zhang</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4,098,000</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0.0001 to 0.47958</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to May 26, 2026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October 1, 2032</w:t>
            </w:r>
          </w:p>
        </w:tc>
      </w:tr>
      <w:tr>
        <w:trPr>
          <w:trHeight w:val="146"/>
        </w:trPr>
        <w:tc>
          <w:tcPr>
            <w:tcW w:w="1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46" w:lineRule="exact"/>
              <w:rPr>
                <w:sz w:val="20"/>
                <w:szCs w:val="20"/>
                <w:color w:val="auto"/>
              </w:rPr>
            </w:pPr>
            <w:r>
              <w:rPr>
                <w:rFonts w:ascii="Arial" w:cs="Arial" w:eastAsia="Arial" w:hAnsi="Arial"/>
                <w:sz w:val="14"/>
                <w:szCs w:val="14"/>
                <w:color w:val="auto"/>
                <w:w w:val="98"/>
              </w:rPr>
              <w:t>From July 26, 2023</w:t>
            </w:r>
          </w:p>
        </w:tc>
        <w:tc>
          <w:tcPr>
            <w:tcW w:w="1040" w:type="dxa"/>
            <w:vAlign w:val="bottom"/>
            <w:shd w:val="clear" w:color="auto" w:fill="CCEEFF"/>
          </w:tcPr>
          <w:p>
            <w:pPr>
              <w:spacing w:after="0"/>
              <w:rPr>
                <w:sz w:val="12"/>
                <w:szCs w:val="12"/>
                <w:color w:val="auto"/>
              </w:rPr>
            </w:pPr>
          </w:p>
        </w:tc>
      </w:tr>
      <w:tr>
        <w:trPr>
          <w:trHeight w:val="205"/>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Bofei Kong</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5,348,648</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0.0001 to 0.47958</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to May 26, 2026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October 1, 2032</w:t>
            </w:r>
          </w:p>
        </w:tc>
      </w:tr>
      <w:tr>
        <w:trPr>
          <w:trHeight w:val="209"/>
        </w:trPr>
        <w:tc>
          <w:tcPr>
            <w:tcW w:w="1320" w:type="dxa"/>
            <w:vAlign w:val="bottom"/>
          </w:tcPr>
          <w:p>
            <w:pPr>
              <w:spacing w:after="0"/>
              <w:rPr>
                <w:sz w:val="20"/>
                <w:szCs w:val="20"/>
                <w:color w:val="auto"/>
              </w:rPr>
            </w:pPr>
            <w:r>
              <w:rPr>
                <w:rFonts w:ascii="Arial" w:cs="Arial" w:eastAsia="Arial" w:hAnsi="Arial"/>
                <w:sz w:val="14"/>
                <w:szCs w:val="14"/>
                <w:color w:val="auto"/>
              </w:rPr>
              <w:t>Yan Chen</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w:t>
            </w:r>
          </w:p>
        </w:tc>
      </w:tr>
      <w:tr>
        <w:trPr>
          <w:trHeight w:val="22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Jia He</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r>
      <w:tr>
        <w:trPr>
          <w:trHeight w:val="204"/>
        </w:trPr>
        <w:tc>
          <w:tcPr>
            <w:tcW w:w="1320" w:type="dxa"/>
            <w:vAlign w:val="bottom"/>
          </w:tcPr>
          <w:p>
            <w:pPr>
              <w:spacing w:after="0"/>
              <w:rPr>
                <w:sz w:val="20"/>
                <w:szCs w:val="20"/>
                <w:color w:val="auto"/>
              </w:rPr>
            </w:pPr>
            <w:r>
              <w:rPr>
                <w:rFonts w:ascii="Arial" w:cs="Arial" w:eastAsia="Arial" w:hAnsi="Arial"/>
                <w:sz w:val="14"/>
                <w:szCs w:val="14"/>
                <w:color w:val="auto"/>
              </w:rPr>
              <w:t>Danni Tang</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w:t>
            </w:r>
          </w:p>
        </w:tc>
      </w:tr>
      <w:tr>
        <w:trPr>
          <w:trHeight w:val="131"/>
        </w:trPr>
        <w:tc>
          <w:tcPr>
            <w:tcW w:w="132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All directors and</w:t>
            </w: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6"/>
        </w:trPr>
        <w:tc>
          <w:tcPr>
            <w:tcW w:w="13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b w:val="1"/>
                <w:bCs w:val="1"/>
                <w:color w:val="auto"/>
              </w:rPr>
              <w:t>executive</w:t>
            </w: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80"/>
              <w:spacing w:after="0" w:line="156" w:lineRule="exact"/>
              <w:rPr>
                <w:sz w:val="20"/>
                <w:szCs w:val="20"/>
                <w:color w:val="auto"/>
              </w:rPr>
            </w:pPr>
            <w:r>
              <w:rPr>
                <w:rFonts w:ascii="Arial" w:cs="Arial" w:eastAsia="Arial" w:hAnsi="Arial"/>
                <w:sz w:val="14"/>
                <w:szCs w:val="14"/>
                <w:color w:val="auto"/>
                <w:w w:val="98"/>
              </w:rPr>
              <w:t>From July 26, 2023</w:t>
            </w:r>
          </w:p>
        </w:tc>
        <w:tc>
          <w:tcPr>
            <w:tcW w:w="1040" w:type="dxa"/>
            <w:vAlign w:val="bottom"/>
            <w:shd w:val="clear" w:color="auto" w:fill="CCEEFF"/>
          </w:tcPr>
          <w:p>
            <w:pPr>
              <w:spacing w:after="0"/>
              <w:rPr>
                <w:sz w:val="13"/>
                <w:szCs w:val="13"/>
                <w:color w:val="auto"/>
              </w:rPr>
            </w:pPr>
          </w:p>
        </w:tc>
      </w:tr>
      <w:tr>
        <w:trPr>
          <w:trHeight w:val="194"/>
        </w:trPr>
        <w:tc>
          <w:tcPr>
            <w:tcW w:w="1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officers</w:t>
            </w:r>
          </w:p>
        </w:tc>
        <w:tc>
          <w:tcPr>
            <w:tcW w:w="26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35,361,557 From 0.0001 to 0.47958</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to May 26, 2026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October 1, 2032</w:t>
            </w:r>
          </w:p>
        </w:tc>
      </w:tr>
      <w:tr>
        <w:trPr>
          <w:trHeight w:val="20"/>
        </w:trPr>
        <w:tc>
          <w:tcPr>
            <w:tcW w:w="1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1780" w:right="1398" w:hanging="525"/>
        <w:spacing w:after="0" w:line="277" w:lineRule="auto"/>
        <w:tabs>
          <w:tab w:leader="none" w:pos="1760" w:val="left"/>
        </w:tabs>
        <w:rPr>
          <w:sz w:val="20"/>
          <w:szCs w:val="20"/>
          <w:color w:val="auto"/>
        </w:rPr>
      </w:pPr>
      <w:r>
        <w:rPr>
          <w:rFonts w:ascii="Arial" w:cs="Arial" w:eastAsia="Arial" w:hAnsi="Arial"/>
          <w:sz w:val="11"/>
          <w:szCs w:val="11"/>
          <w:color w:val="auto"/>
        </w:rPr>
        <w:t>Note:</w:t>
        <w:tab/>
        <w:t>(1) On July 26, 2023, we granted these individuals options under the 2023 Plan to reflect the share-based awards granted under the Souche Incentive Plan. For details, see “Management — Share Option Plans.”</w:t>
      </w:r>
    </w:p>
    <w:p>
      <w:pPr>
        <w:spacing w:after="0" w:line="3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As of the date of this prospectus, our employees and other qualified individuals other than directors and executive officers as a group held options to acquire a total of 59,354,117 ordinary shares granted under the 2023 Plan.</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Yunyang Warrants</w:t>
      </w:r>
    </w:p>
    <w:p>
      <w:pPr>
        <w:spacing w:after="0" w:line="8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In 2020, in connection with its acquisition of Beijing Yunyang Information Technology Co., Ltd., or Yunyang, Souche Holdings Ltd issued warrants to purchase ordinary shares of Souche Holdings Ltd to the founder and certain key employees of Yunyang (the “Yunyang Souche Warrants”). Among these Yunyang Souche Warrants, 1,444,448 warrants were issued to employees of Beijing Yunyang as share-based awards for their services subsequent to such acquisition and are exercisable upon our initial public offering. As part of the Restructuring, in October 2022, the Company authorized and reserved an aggregate of 2,507,698 ordinary shares for issuance of warrants (the “Yunyang Warrants”) to these individuals to mirror their Yunyang Souche Warrants then outstanding held in Souche Holdings Ltd. As of the date of this prospectus, Yunyang Warrants to purchase 1,796,348 shares of the Company remained outstanding.</w:t>
      </w:r>
    </w:p>
    <w:p>
      <w:pPr>
        <w:spacing w:after="0" w:line="7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For discussions of our accounting estimates for awards granted pursuant to our share option plans, see “Management’s Discussion and Analysis of Financial Condition and Results of Operations — Critical Accounting Estimates — Share-based compensation.”</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48" w:name="page249"/>
    <w:bookmarkEnd w:id="24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PRINCIPAL SHAREHOLDERS</w:t>
      </w:r>
    </w:p>
    <w:p>
      <w:pPr>
        <w:spacing w:after="0" w:line="78"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following table sets forth information concerning the beneficial ownership of our ordinary shares on an as-converted basis as of the date of this prospectus by:</w:t>
      </w:r>
    </w:p>
    <w:p>
      <w:pPr>
        <w:spacing w:after="0" w:line="31" w:lineRule="exact"/>
        <w:rPr>
          <w:sz w:val="20"/>
          <w:szCs w:val="20"/>
          <w:color w:val="auto"/>
        </w:rPr>
      </w:pPr>
    </w:p>
    <w:p>
      <w:pPr>
        <w:ind w:left="1800" w:hanging="136"/>
        <w:spacing w:after="0"/>
        <w:tabs>
          <w:tab w:leader="none" w:pos="1800" w:val="left"/>
        </w:tabs>
        <w:numPr>
          <w:ilvl w:val="0"/>
          <w:numId w:val="118"/>
        </w:numPr>
        <w:rPr>
          <w:rFonts w:ascii="Arial" w:cs="Arial" w:eastAsia="Arial" w:hAnsi="Arial"/>
          <w:sz w:val="11"/>
          <w:szCs w:val="11"/>
          <w:color w:val="auto"/>
        </w:rPr>
      </w:pPr>
      <w:r>
        <w:rPr>
          <w:rFonts w:ascii="Arial" w:cs="Arial" w:eastAsia="Arial" w:hAnsi="Arial"/>
          <w:sz w:val="14"/>
          <w:szCs w:val="14"/>
          <w:color w:val="auto"/>
        </w:rPr>
        <w:t>each of our directors (including director nominee(s)) and executive officers; and</w:t>
      </w:r>
    </w:p>
    <w:p>
      <w:pPr>
        <w:spacing w:after="0" w:line="77" w:lineRule="exact"/>
        <w:rPr>
          <w:rFonts w:ascii="Arial" w:cs="Arial" w:eastAsia="Arial" w:hAnsi="Arial"/>
          <w:sz w:val="11"/>
          <w:szCs w:val="11"/>
          <w:color w:val="auto"/>
        </w:rPr>
      </w:pPr>
    </w:p>
    <w:p>
      <w:pPr>
        <w:ind w:left="1800" w:hanging="136"/>
        <w:spacing w:after="0"/>
        <w:tabs>
          <w:tab w:leader="none" w:pos="1800" w:val="left"/>
        </w:tabs>
        <w:numPr>
          <w:ilvl w:val="0"/>
          <w:numId w:val="118"/>
        </w:numPr>
        <w:rPr>
          <w:rFonts w:ascii="Arial" w:cs="Arial" w:eastAsia="Arial" w:hAnsi="Arial"/>
          <w:sz w:val="11"/>
          <w:szCs w:val="11"/>
          <w:color w:val="auto"/>
        </w:rPr>
      </w:pPr>
      <w:r>
        <w:rPr>
          <w:rFonts w:ascii="Arial" w:cs="Arial" w:eastAsia="Arial" w:hAnsi="Arial"/>
          <w:sz w:val="14"/>
          <w:szCs w:val="14"/>
          <w:color w:val="auto"/>
        </w:rPr>
        <w:t>each person known to us to beneficially own more than 5% of our ordinary shares.</w:t>
      </w:r>
    </w:p>
    <w:p>
      <w:pPr>
        <w:spacing w:after="0" w:line="7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calculations in the table below are based on (i) 941,449,847 ordinary shares on an as-converted basis outstanding as of the date of this prospectus, and (ii) 670,157,244 Class A ordinary shares and 331,292,603 Class B ordinary shares issued and outstanding immediately after the completion of this offering, including 60,000,000 Class A ordinary shares to be sold by us in this offering in the form of ADSs, assuming that the underwriters do not exercise their option to purchase additional ADSs.</w:t>
      </w:r>
    </w:p>
    <w:p>
      <w:pPr>
        <w:spacing w:after="0" w:line="5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5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API (HONG KONG) INVESTMENT LIMITED (together with its affiliates, “API”), through one of its affiliates, has subscribed for, and been allocated by the underwriters an aggregate of 1,529,411 ADSs. API’s subscriptions for the ADSs are at the initial public offering price and on the same terms as the other ADSs being offered. The underwriters receive the same underwriting discounts and commissions on any of the ADSs sold to API as they do on any other ADSs sold to the public in this offering. For additional information, see “Underwriting.”</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ind w:left="161"/>
              <w:spacing w:after="0"/>
              <w:rPr>
                <w:sz w:val="20"/>
                <w:szCs w:val="20"/>
                <w:color w:val="auto"/>
              </w:rPr>
            </w:pPr>
            <w:r>
              <w:rPr>
                <w:rFonts w:ascii="Arial" w:cs="Arial" w:eastAsia="Arial" w:hAnsi="Arial"/>
                <w:sz w:val="11"/>
                <w:szCs w:val="11"/>
                <w:b w:val="1"/>
                <w:bCs w:val="1"/>
                <w:color w:val="auto"/>
                <w:w w:val="99"/>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78"/>
              <w:spacing w:after="0"/>
              <w:rPr>
                <w:sz w:val="20"/>
                <w:szCs w:val="20"/>
                <w:color w:val="auto"/>
              </w:rPr>
            </w:pPr>
            <w:r>
              <w:rPr>
                <w:rFonts w:ascii="Arial" w:cs="Arial" w:eastAsia="Arial" w:hAnsi="Arial"/>
                <w:sz w:val="11"/>
                <w:szCs w:val="11"/>
                <w:b w:val="1"/>
                <w:bCs w:val="1"/>
                <w:color w:val="auto"/>
                <w:w w:val="99"/>
              </w:rPr>
              <w:t>Class B</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5"/>
        </w:trPr>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Ordinary Shares</w:t>
            </w:r>
          </w:p>
        </w:tc>
        <w:tc>
          <w:tcPr>
            <w:tcW w:w="60" w:type="dxa"/>
            <w:vAlign w:val="bottom"/>
          </w:tcPr>
          <w:p>
            <w:pPr>
              <w:spacing w:after="0"/>
              <w:rPr>
                <w:sz w:val="10"/>
                <w:szCs w:val="10"/>
                <w:color w:val="auto"/>
              </w:rPr>
            </w:pPr>
          </w:p>
        </w:tc>
        <w:tc>
          <w:tcPr>
            <w:tcW w:w="1160" w:type="dxa"/>
            <w:vAlign w:val="bottom"/>
            <w:gridSpan w:val="5"/>
          </w:tcPr>
          <w:p>
            <w:pPr>
              <w:jc w:val="center"/>
              <w:ind w:right="60"/>
              <w:spacing w:after="0" w:line="125" w:lineRule="exact"/>
              <w:rPr>
                <w:sz w:val="20"/>
                <w:szCs w:val="20"/>
                <w:color w:val="auto"/>
              </w:rPr>
            </w:pPr>
            <w:r>
              <w:rPr>
                <w:rFonts w:ascii="Arial" w:cs="Arial" w:eastAsia="Arial" w:hAnsi="Arial"/>
                <w:sz w:val="11"/>
                <w:szCs w:val="11"/>
                <w:b w:val="1"/>
                <w:bCs w:val="1"/>
                <w:color w:val="auto"/>
              </w:rPr>
              <w:t>Ordinary Shares</w:t>
            </w: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Percentage of</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5"/>
        </w:trPr>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ind w:left="181"/>
              <w:spacing w:after="0" w:line="125" w:lineRule="exact"/>
              <w:rPr>
                <w:sz w:val="20"/>
                <w:szCs w:val="20"/>
                <w:color w:val="auto"/>
              </w:rPr>
            </w:pPr>
            <w:r>
              <w:rPr>
                <w:rFonts w:ascii="Arial" w:cs="Arial" w:eastAsia="Arial" w:hAnsi="Arial"/>
                <w:sz w:val="11"/>
                <w:szCs w:val="11"/>
                <w:b w:val="1"/>
                <w:bCs w:val="1"/>
                <w:color w:val="auto"/>
              </w:rPr>
              <w:t>Beneficially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58"/>
              <w:spacing w:after="0" w:line="125" w:lineRule="exact"/>
              <w:rPr>
                <w:sz w:val="20"/>
                <w:szCs w:val="20"/>
                <w:color w:val="auto"/>
              </w:rPr>
            </w:pPr>
            <w:r>
              <w:rPr>
                <w:rFonts w:ascii="Arial" w:cs="Arial" w:eastAsia="Arial" w:hAnsi="Arial"/>
                <w:sz w:val="11"/>
                <w:szCs w:val="11"/>
                <w:b w:val="1"/>
                <w:bCs w:val="1"/>
                <w:color w:val="auto"/>
              </w:rPr>
              <w:t>Beneficially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Beneficial</w:t>
            </w:r>
          </w:p>
        </w:tc>
        <w:tc>
          <w:tcPr>
            <w:tcW w:w="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Voting</w:t>
            </w:r>
          </w:p>
        </w:tc>
      </w:tr>
      <w:tr>
        <w:trPr>
          <w:trHeight w:val="125"/>
        </w:trPr>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jc w:val="center"/>
              <w:ind w:left="181"/>
              <w:spacing w:after="0" w:line="125" w:lineRule="exact"/>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58"/>
              <w:spacing w:after="0" w:line="125" w:lineRule="exact"/>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Ownership</w:t>
            </w:r>
          </w:p>
        </w:tc>
        <w:tc>
          <w:tcPr>
            <w:tcW w:w="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Power</w:t>
            </w:r>
          </w:p>
        </w:tc>
      </w:tr>
      <w:tr>
        <w:trPr>
          <w:trHeight w:val="125"/>
        </w:trPr>
        <w:tc>
          <w:tcPr>
            <w:tcW w:w="1240" w:type="dxa"/>
            <w:vAlign w:val="bottom"/>
          </w:tcPr>
          <w:p>
            <w:pPr>
              <w:spacing w:after="0"/>
              <w:rPr>
                <w:sz w:val="10"/>
                <w:szCs w:val="10"/>
                <w:color w:val="auto"/>
              </w:rPr>
            </w:pPr>
          </w:p>
        </w:tc>
        <w:tc>
          <w:tcPr>
            <w:tcW w:w="114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rPr>
              <w:t>Ordinary Shares</w:t>
            </w:r>
          </w:p>
        </w:tc>
        <w:tc>
          <w:tcPr>
            <w:tcW w:w="40" w:type="dxa"/>
            <w:vAlign w:val="bottom"/>
          </w:tcPr>
          <w:p>
            <w:pPr>
              <w:spacing w:after="0"/>
              <w:rPr>
                <w:sz w:val="10"/>
                <w:szCs w:val="10"/>
                <w:color w:val="auto"/>
              </w:rPr>
            </w:pPr>
          </w:p>
        </w:tc>
        <w:tc>
          <w:tcPr>
            <w:tcW w:w="900" w:type="dxa"/>
            <w:vAlign w:val="bottom"/>
            <w:gridSpan w:val="3"/>
          </w:tcPr>
          <w:p>
            <w:pPr>
              <w:jc w:val="center"/>
              <w:ind w:left="161"/>
              <w:spacing w:after="0" w:line="125" w:lineRule="exact"/>
              <w:rPr>
                <w:sz w:val="20"/>
                <w:szCs w:val="20"/>
                <w:color w:val="auto"/>
              </w:rPr>
            </w:pPr>
            <w:r>
              <w:rPr>
                <w:rFonts w:ascii="Arial" w:cs="Arial" w:eastAsia="Arial" w:hAnsi="Arial"/>
                <w:sz w:val="11"/>
                <w:szCs w:val="11"/>
                <w:b w:val="1"/>
                <w:bCs w:val="1"/>
                <w:color w:val="auto"/>
              </w:rPr>
              <w:t>Immediately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78"/>
              <w:spacing w:after="0" w:line="125" w:lineRule="exact"/>
              <w:rPr>
                <w:sz w:val="20"/>
                <w:szCs w:val="20"/>
                <w:color w:val="auto"/>
              </w:rPr>
            </w:pPr>
            <w:r>
              <w:rPr>
                <w:rFonts w:ascii="Arial" w:cs="Arial" w:eastAsia="Arial" w:hAnsi="Arial"/>
                <w:sz w:val="11"/>
                <w:szCs w:val="11"/>
                <w:b w:val="1"/>
                <w:bCs w:val="1"/>
                <w:color w:val="auto"/>
              </w:rPr>
              <w:t>Immediately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Immediately</w:t>
            </w:r>
          </w:p>
        </w:tc>
        <w:tc>
          <w:tcPr>
            <w:tcW w:w="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Immediately</w:t>
            </w:r>
          </w:p>
        </w:tc>
      </w:tr>
      <w:tr>
        <w:trPr>
          <w:trHeight w:val="125"/>
        </w:trPr>
        <w:tc>
          <w:tcPr>
            <w:tcW w:w="1240" w:type="dxa"/>
            <w:vAlign w:val="bottom"/>
          </w:tcPr>
          <w:p>
            <w:pPr>
              <w:spacing w:after="0"/>
              <w:rPr>
                <w:sz w:val="10"/>
                <w:szCs w:val="10"/>
                <w:color w:val="auto"/>
              </w:rPr>
            </w:pPr>
          </w:p>
        </w:tc>
        <w:tc>
          <w:tcPr>
            <w:tcW w:w="114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rPr>
              <w:t>Beneficially Owned</w:t>
            </w:r>
          </w:p>
        </w:tc>
        <w:tc>
          <w:tcPr>
            <w:tcW w:w="40" w:type="dxa"/>
            <w:vAlign w:val="bottom"/>
          </w:tcPr>
          <w:p>
            <w:pPr>
              <w:spacing w:after="0"/>
              <w:rPr>
                <w:sz w:val="10"/>
                <w:szCs w:val="10"/>
                <w:color w:val="auto"/>
              </w:rPr>
            </w:pPr>
          </w:p>
        </w:tc>
        <w:tc>
          <w:tcPr>
            <w:tcW w:w="900" w:type="dxa"/>
            <w:vAlign w:val="bottom"/>
            <w:gridSpan w:val="3"/>
          </w:tcPr>
          <w:p>
            <w:pPr>
              <w:jc w:val="center"/>
              <w:ind w:left="161"/>
              <w:spacing w:after="0" w:line="125" w:lineRule="exact"/>
              <w:rPr>
                <w:sz w:val="20"/>
                <w:szCs w:val="20"/>
                <w:color w:val="auto"/>
              </w:rPr>
            </w:pPr>
            <w:r>
              <w:rPr>
                <w:rFonts w:ascii="Arial" w:cs="Arial" w:eastAsia="Arial" w:hAnsi="Arial"/>
                <w:sz w:val="11"/>
                <w:szCs w:val="11"/>
                <w:b w:val="1"/>
                <w:bCs w:val="1"/>
                <w:color w:val="auto"/>
              </w:rPr>
              <w:t>After This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78"/>
              <w:spacing w:after="0" w:line="125" w:lineRule="exact"/>
              <w:rPr>
                <w:sz w:val="20"/>
                <w:szCs w:val="20"/>
                <w:color w:val="auto"/>
              </w:rPr>
            </w:pPr>
            <w:r>
              <w:rPr>
                <w:rFonts w:ascii="Arial" w:cs="Arial" w:eastAsia="Arial" w:hAnsi="Arial"/>
                <w:sz w:val="11"/>
                <w:szCs w:val="11"/>
                <w:b w:val="1"/>
                <w:bCs w:val="1"/>
                <w:color w:val="auto"/>
              </w:rPr>
              <w:t>After This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After This</w:t>
            </w:r>
          </w:p>
        </w:tc>
        <w:tc>
          <w:tcPr>
            <w:tcW w:w="6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After This</w:t>
            </w:r>
          </w:p>
        </w:tc>
      </w:tr>
      <w:tr>
        <w:trPr>
          <w:trHeight w:val="160"/>
        </w:trPr>
        <w:tc>
          <w:tcPr>
            <w:tcW w:w="1240" w:type="dxa"/>
            <w:vAlign w:val="bottom"/>
          </w:tcPr>
          <w:p>
            <w:pPr>
              <w:spacing w:after="0"/>
              <w:rPr>
                <w:sz w:val="13"/>
                <w:szCs w:val="13"/>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9"/>
              </w:rPr>
              <w:t>Prior to This Offering</w:t>
            </w:r>
          </w:p>
        </w:tc>
        <w:tc>
          <w:tcPr>
            <w:tcW w:w="40" w:type="dxa"/>
            <w:vAlign w:val="bottom"/>
          </w:tcPr>
          <w:p>
            <w:pPr>
              <w:spacing w:after="0"/>
              <w:rPr>
                <w:sz w:val="13"/>
                <w:szCs w:val="13"/>
                <w:color w:val="auto"/>
              </w:rPr>
            </w:pPr>
          </w:p>
        </w:tc>
        <w:tc>
          <w:tcPr>
            <w:tcW w:w="90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1"/>
                <w:szCs w:val="11"/>
                <w:b w:val="1"/>
                <w:bCs w:val="1"/>
                <w:color w:val="auto"/>
                <w:w w:val="98"/>
              </w:rPr>
              <w:t>Offering</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Offering</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Offering</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Offering**</w:t>
            </w:r>
          </w:p>
        </w:tc>
      </w:tr>
      <w:tr>
        <w:trPr>
          <w:trHeight w:val="198"/>
        </w:trPr>
        <w:tc>
          <w:tcPr>
            <w:tcW w:w="1240" w:type="dxa"/>
            <w:vAlign w:val="bottom"/>
          </w:tcPr>
          <w:p>
            <w:pPr>
              <w:spacing w:after="0"/>
              <w:rPr>
                <w:sz w:val="17"/>
                <w:szCs w:val="17"/>
                <w:color w:val="auto"/>
              </w:rPr>
            </w:pPr>
          </w:p>
        </w:tc>
        <w:tc>
          <w:tcPr>
            <w:tcW w:w="800" w:type="dxa"/>
            <w:vAlign w:val="bottom"/>
          </w:tcPr>
          <w:p>
            <w:pPr>
              <w:jc w:val="right"/>
              <w:ind w:right="135"/>
              <w:spacing w:after="0"/>
              <w:rPr>
                <w:sz w:val="20"/>
                <w:szCs w:val="20"/>
                <w:color w:val="auto"/>
              </w:rPr>
            </w:pPr>
            <w:r>
              <w:rPr>
                <w:rFonts w:ascii="Arial" w:cs="Arial" w:eastAsia="Arial" w:hAnsi="Arial"/>
                <w:sz w:val="11"/>
                <w:szCs w:val="11"/>
                <w:b w:val="1"/>
                <w:bCs w:val="1"/>
                <w:color w:val="auto"/>
              </w:rPr>
              <w:t>Number</w:t>
            </w:r>
          </w:p>
        </w:tc>
        <w:tc>
          <w:tcPr>
            <w:tcW w:w="34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900" w:type="dxa"/>
            <w:vAlign w:val="bottom"/>
            <w:gridSpan w:val="3"/>
          </w:tcPr>
          <w:p>
            <w:pPr>
              <w:ind w:left="18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w w:val="99"/>
              </w:rPr>
              <w:t>%*</w:t>
            </w:r>
          </w:p>
        </w:tc>
        <w:tc>
          <w:tcPr>
            <w:tcW w:w="60" w:type="dxa"/>
            <w:vAlign w:val="bottom"/>
          </w:tcPr>
          <w:p>
            <w:pPr>
              <w:spacing w:after="0"/>
              <w:rPr>
                <w:sz w:val="17"/>
                <w:szCs w:val="17"/>
                <w:color w:val="auto"/>
              </w:rPr>
            </w:pPr>
          </w:p>
        </w:tc>
        <w:tc>
          <w:tcPr>
            <w:tcW w:w="880" w:type="dxa"/>
            <w:vAlign w:val="bottom"/>
            <w:gridSpan w:val="3"/>
          </w:tcPr>
          <w:p>
            <w:pPr>
              <w:ind w:left="18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w w:val="99"/>
              </w:rPr>
              <w:t>%*</w:t>
            </w:r>
          </w:p>
        </w:tc>
        <w:tc>
          <w:tcPr>
            <w:tcW w:w="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9"/>
              </w:rPr>
              <w: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w:t>
            </w:r>
          </w:p>
        </w:tc>
      </w:tr>
      <w:tr>
        <w:trPr>
          <w:trHeight w:val="133"/>
        </w:trPr>
        <w:tc>
          <w:tcPr>
            <w:tcW w:w="124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Directors and</w:t>
            </w: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r>
      <w:tr>
        <w:trPr>
          <w:trHeight w:val="156"/>
        </w:trPr>
        <w:tc>
          <w:tcPr>
            <w:tcW w:w="12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b w:val="1"/>
                <w:bCs w:val="1"/>
                <w:color w:val="auto"/>
              </w:rPr>
              <w:t>Executive</w:t>
            </w: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5"/>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Officers†:</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4"/>
                <w:szCs w:val="14"/>
                <w:color w:val="auto"/>
              </w:rPr>
              <w:t>Junhong Yao</w:t>
            </w:r>
            <w:r>
              <w:rPr>
                <w:rFonts w:ascii="Arial" w:cs="Arial" w:eastAsia="Arial" w:hAnsi="Arial"/>
                <w:sz w:val="16"/>
                <w:szCs w:val="16"/>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4"/>
                <w:szCs w:val="14"/>
                <w:color w:val="auto"/>
              </w:rPr>
              <w:t>438,968,293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46.4</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93,435,380</w:t>
            </w:r>
          </w:p>
        </w:tc>
        <w:tc>
          <w:tcPr>
            <w:tcW w:w="60" w:type="dxa"/>
            <w:vAlign w:val="bottom"/>
          </w:tcPr>
          <w:p>
            <w:pPr>
              <w:spacing w:after="0"/>
              <w:rPr>
                <w:sz w:val="18"/>
                <w:szCs w:val="18"/>
                <w:color w:val="auto"/>
              </w:rPr>
            </w:pPr>
          </w:p>
        </w:tc>
        <w:tc>
          <w:tcPr>
            <w:tcW w:w="1440" w:type="dxa"/>
            <w:vAlign w:val="bottom"/>
            <w:gridSpan w:val="7"/>
          </w:tcPr>
          <w:p>
            <w:pPr>
              <w:jc w:val="right"/>
              <w:ind w:right="60"/>
              <w:spacing w:after="0"/>
              <w:rPr>
                <w:sz w:val="20"/>
                <w:szCs w:val="20"/>
                <w:color w:val="auto"/>
              </w:rPr>
            </w:pPr>
            <w:r>
              <w:rPr>
                <w:rFonts w:ascii="Arial" w:cs="Arial" w:eastAsia="Arial" w:hAnsi="Arial"/>
                <w:sz w:val="14"/>
                <w:szCs w:val="14"/>
                <w:color w:val="auto"/>
              </w:rPr>
              <w:t>9.3 331,292,603 32.9</w:t>
            </w:r>
          </w:p>
        </w:tc>
        <w:tc>
          <w:tcPr>
            <w:tcW w:w="740" w:type="dxa"/>
            <w:vAlign w:val="bottom"/>
          </w:tcPr>
          <w:p>
            <w:pPr>
              <w:jc w:val="right"/>
              <w:spacing w:after="0"/>
              <w:rPr>
                <w:sz w:val="20"/>
                <w:szCs w:val="20"/>
                <w:color w:val="auto"/>
              </w:rPr>
            </w:pPr>
            <w:r>
              <w:rPr>
                <w:rFonts w:ascii="Arial" w:cs="Arial" w:eastAsia="Arial" w:hAnsi="Arial"/>
                <w:sz w:val="14"/>
                <w:szCs w:val="14"/>
                <w:color w:val="auto"/>
              </w:rPr>
              <w:t>42.2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85.4</w:t>
            </w:r>
          </w:p>
        </w:tc>
      </w:tr>
      <w:tr>
        <w:trPr>
          <w:trHeight w:val="21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Liyu Zhang</w:t>
            </w:r>
            <w:r>
              <w:rPr>
                <w:rFonts w:ascii="Arial" w:cs="Arial" w:eastAsia="Arial" w:hAnsi="Arial"/>
                <w:sz w:val="16"/>
                <w:szCs w:val="16"/>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12,870,519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12,870,519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8"/>
        </w:trPr>
        <w:tc>
          <w:tcPr>
            <w:tcW w:w="1240" w:type="dxa"/>
            <w:vAlign w:val="bottom"/>
          </w:tcPr>
          <w:p>
            <w:pPr>
              <w:spacing w:after="0"/>
              <w:rPr>
                <w:sz w:val="20"/>
                <w:szCs w:val="20"/>
                <w:color w:val="auto"/>
              </w:rPr>
            </w:pPr>
            <w:r>
              <w:rPr>
                <w:rFonts w:ascii="Arial" w:cs="Arial" w:eastAsia="Arial" w:hAnsi="Arial"/>
                <w:sz w:val="14"/>
                <w:szCs w:val="14"/>
                <w:color w:val="auto"/>
              </w:rPr>
              <w:t>Qin Zou</w:t>
            </w:r>
            <w:r>
              <w:rPr>
                <w:rFonts w:ascii="Arial" w:cs="Arial" w:eastAsia="Arial" w:hAnsi="Arial"/>
                <w:sz w:val="16"/>
                <w:szCs w:val="16"/>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10,861,789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10,861,789</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18"/>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Gongwei Zhang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4,345,669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4,345,669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9"/>
        </w:trPr>
        <w:tc>
          <w:tcPr>
            <w:tcW w:w="1240" w:type="dxa"/>
            <w:vAlign w:val="bottom"/>
          </w:tcPr>
          <w:p>
            <w:pPr>
              <w:spacing w:after="0"/>
              <w:rPr>
                <w:sz w:val="20"/>
                <w:szCs w:val="20"/>
                <w:color w:val="auto"/>
              </w:rPr>
            </w:pPr>
            <w:r>
              <w:rPr>
                <w:rFonts w:ascii="Arial" w:cs="Arial" w:eastAsia="Arial" w:hAnsi="Arial"/>
                <w:sz w:val="14"/>
                <w:szCs w:val="14"/>
                <w:color w:val="auto"/>
              </w:rPr>
              <w:t>Bofei Kong</w:t>
            </w:r>
          </w:p>
        </w:tc>
        <w:tc>
          <w:tcPr>
            <w:tcW w:w="800" w:type="dxa"/>
            <w:vAlign w:val="bottom"/>
          </w:tcPr>
          <w:p>
            <w:pPr>
              <w:jc w:val="right"/>
              <w:spacing w:after="0"/>
              <w:rPr>
                <w:sz w:val="20"/>
                <w:szCs w:val="20"/>
                <w:color w:val="auto"/>
              </w:rPr>
            </w:pPr>
            <w:r>
              <w:rPr>
                <w:rFonts w:ascii="Arial" w:cs="Arial" w:eastAsia="Arial" w:hAnsi="Arial"/>
                <w:sz w:val="14"/>
                <w:szCs w:val="14"/>
                <w:color w:val="auto"/>
              </w:rPr>
              <w:t>4,524,638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4,524,638</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27"/>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Yan Chen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1240" w:type="dxa"/>
            <w:vAlign w:val="bottom"/>
          </w:tcPr>
          <w:p>
            <w:pPr>
              <w:spacing w:after="0"/>
              <w:rPr>
                <w:sz w:val="20"/>
                <w:szCs w:val="20"/>
                <w:color w:val="auto"/>
              </w:rPr>
            </w:pPr>
            <w:r>
              <w:rPr>
                <w:rFonts w:ascii="Arial" w:cs="Arial" w:eastAsia="Arial" w:hAnsi="Arial"/>
                <w:sz w:val="14"/>
                <w:szCs w:val="14"/>
                <w:color w:val="auto"/>
              </w:rPr>
              <w:t>Jia He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Danni Tang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1240" w:type="dxa"/>
            <w:vAlign w:val="bottom"/>
          </w:tcPr>
          <w:p>
            <w:pPr>
              <w:spacing w:after="0" w:line="137" w:lineRule="exact"/>
              <w:rPr>
                <w:sz w:val="20"/>
                <w:szCs w:val="20"/>
                <w:color w:val="auto"/>
              </w:rPr>
            </w:pPr>
            <w:r>
              <w:rPr>
                <w:rFonts w:ascii="Arial" w:cs="Arial" w:eastAsia="Arial" w:hAnsi="Arial"/>
                <w:sz w:val="14"/>
                <w:szCs w:val="14"/>
                <w:color w:val="auto"/>
              </w:rPr>
              <w:t>All directors and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1240" w:type="dxa"/>
            <w:vAlign w:val="bottom"/>
          </w:tcPr>
          <w:p>
            <w:pPr>
              <w:ind w:left="140"/>
              <w:spacing w:after="0" w:line="156" w:lineRule="exact"/>
              <w:rPr>
                <w:sz w:val="20"/>
                <w:szCs w:val="20"/>
                <w:color w:val="auto"/>
              </w:rPr>
            </w:pPr>
            <w:r>
              <w:rPr>
                <w:rFonts w:ascii="Arial" w:cs="Arial" w:eastAsia="Arial" w:hAnsi="Arial"/>
                <w:sz w:val="14"/>
                <w:szCs w:val="14"/>
                <w:color w:val="auto"/>
              </w:rPr>
              <w:t>executive</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6"/>
        </w:trPr>
        <w:tc>
          <w:tcPr>
            <w:tcW w:w="1240" w:type="dxa"/>
            <w:vAlign w:val="bottom"/>
          </w:tcPr>
          <w:p>
            <w:pPr>
              <w:ind w:left="140"/>
              <w:spacing w:after="0" w:line="156" w:lineRule="exact"/>
              <w:rPr>
                <w:sz w:val="20"/>
                <w:szCs w:val="20"/>
                <w:color w:val="auto"/>
              </w:rPr>
            </w:pPr>
            <w:r>
              <w:rPr>
                <w:rFonts w:ascii="Arial" w:cs="Arial" w:eastAsia="Arial" w:hAnsi="Arial"/>
                <w:sz w:val="14"/>
                <w:szCs w:val="14"/>
                <w:color w:val="auto"/>
              </w:rPr>
              <w:t>officers as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7"/>
        </w:trPr>
        <w:tc>
          <w:tcPr>
            <w:tcW w:w="1240" w:type="dxa"/>
            <w:vAlign w:val="bottom"/>
          </w:tcPr>
          <w:p>
            <w:pPr>
              <w:ind w:left="140"/>
              <w:spacing w:after="0"/>
              <w:rPr>
                <w:sz w:val="20"/>
                <w:szCs w:val="20"/>
                <w:color w:val="auto"/>
              </w:rPr>
            </w:pPr>
            <w:r>
              <w:rPr>
                <w:rFonts w:ascii="Arial" w:cs="Arial" w:eastAsia="Arial" w:hAnsi="Arial"/>
                <w:sz w:val="14"/>
                <w:szCs w:val="14"/>
                <w:color w:val="auto"/>
              </w:rPr>
              <w:t>a group</w:t>
            </w:r>
          </w:p>
        </w:tc>
        <w:tc>
          <w:tcPr>
            <w:tcW w:w="800" w:type="dxa"/>
            <w:vAlign w:val="bottom"/>
          </w:tcPr>
          <w:p>
            <w:pPr>
              <w:jc w:val="right"/>
              <w:spacing w:after="0"/>
              <w:rPr>
                <w:sz w:val="20"/>
                <w:szCs w:val="20"/>
                <w:color w:val="auto"/>
              </w:rPr>
            </w:pPr>
            <w:r>
              <w:rPr>
                <w:rFonts w:ascii="Arial" w:cs="Arial" w:eastAsia="Arial" w:hAnsi="Arial"/>
                <w:sz w:val="14"/>
                <w:szCs w:val="14"/>
                <w:color w:val="auto"/>
              </w:rPr>
              <w:t>470,519,239</w:t>
            </w:r>
          </w:p>
        </w:tc>
        <w:tc>
          <w:tcPr>
            <w:tcW w:w="2720" w:type="dxa"/>
            <w:vAlign w:val="bottom"/>
            <w:gridSpan w:val="13"/>
          </w:tcPr>
          <w:p>
            <w:pPr>
              <w:jc w:val="right"/>
              <w:ind w:right="60"/>
              <w:spacing w:after="0"/>
              <w:rPr>
                <w:sz w:val="20"/>
                <w:szCs w:val="20"/>
                <w:color w:val="auto"/>
              </w:rPr>
            </w:pPr>
            <w:r>
              <w:rPr>
                <w:rFonts w:ascii="Arial" w:cs="Arial" w:eastAsia="Arial" w:hAnsi="Arial"/>
                <w:sz w:val="14"/>
                <w:szCs w:val="14"/>
                <w:color w:val="auto"/>
              </w:rPr>
              <w:t>48.4 126,037,995 12.2 331,292,603 32.9</w:t>
            </w:r>
          </w:p>
        </w:tc>
        <w:tc>
          <w:tcPr>
            <w:tcW w:w="740" w:type="dxa"/>
            <w:vAlign w:val="bottom"/>
          </w:tcPr>
          <w:p>
            <w:pPr>
              <w:jc w:val="right"/>
              <w:spacing w:after="0"/>
              <w:rPr>
                <w:sz w:val="20"/>
                <w:szCs w:val="20"/>
                <w:color w:val="auto"/>
              </w:rPr>
            </w:pPr>
            <w:r>
              <w:rPr>
                <w:rFonts w:ascii="Arial" w:cs="Arial" w:eastAsia="Arial" w:hAnsi="Arial"/>
                <w:sz w:val="14"/>
                <w:szCs w:val="14"/>
                <w:color w:val="auto"/>
              </w:rPr>
              <w:t>44.3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85.7</w:t>
            </w:r>
          </w:p>
        </w:tc>
      </w:tr>
      <w:tr>
        <w:trPr>
          <w:trHeight w:val="309"/>
        </w:trPr>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240</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249" w:name="page250"/>
    <w:bookmarkEnd w:id="24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center"/>
              <w:ind w:left="185"/>
              <w:spacing w:after="0"/>
              <w:rPr>
                <w:sz w:val="20"/>
                <w:szCs w:val="20"/>
                <w:color w:val="auto"/>
              </w:rPr>
            </w:pPr>
            <w:r>
              <w:rPr>
                <w:rFonts w:ascii="Arial" w:cs="Arial" w:eastAsia="Arial" w:hAnsi="Arial"/>
                <w:sz w:val="11"/>
                <w:szCs w:val="11"/>
                <w:b w:val="1"/>
                <w:bCs w:val="1"/>
                <w:color w:val="auto"/>
                <w:w w:val="99"/>
              </w:rPr>
              <w:t>Class A</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60"/>
              <w:spacing w:after="0"/>
              <w:rPr>
                <w:sz w:val="20"/>
                <w:szCs w:val="20"/>
                <w:color w:val="auto"/>
              </w:rPr>
            </w:pPr>
            <w:r>
              <w:rPr>
                <w:rFonts w:ascii="Arial" w:cs="Arial" w:eastAsia="Arial" w:hAnsi="Arial"/>
                <w:sz w:val="11"/>
                <w:szCs w:val="11"/>
                <w:b w:val="1"/>
                <w:bCs w:val="1"/>
                <w:color w:val="auto"/>
              </w:rPr>
              <w:t>Class B</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5"/>
          </w:tcPr>
          <w:p>
            <w:pPr>
              <w:jc w:val="center"/>
              <w:ind w:right="60"/>
              <w:spacing w:after="0" w:line="125" w:lineRule="exact"/>
              <w:rPr>
                <w:sz w:val="20"/>
                <w:szCs w:val="20"/>
                <w:color w:val="auto"/>
              </w:rPr>
            </w:pPr>
            <w:r>
              <w:rPr>
                <w:rFonts w:ascii="Arial" w:cs="Arial" w:eastAsia="Arial" w:hAnsi="Arial"/>
                <w:sz w:val="11"/>
                <w:szCs w:val="11"/>
                <w:b w:val="1"/>
                <w:bCs w:val="1"/>
                <w:color w:val="auto"/>
              </w:rPr>
              <w:t>Ordinary Shares</w:t>
            </w:r>
          </w:p>
        </w:tc>
        <w:tc>
          <w:tcPr>
            <w:tcW w:w="110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Ordinary Shares</w:t>
            </w:r>
          </w:p>
        </w:tc>
        <w:tc>
          <w:tcPr>
            <w:tcW w:w="840" w:type="dxa"/>
            <w:vAlign w:val="bottom"/>
            <w:gridSpan w:val="3"/>
          </w:tcPr>
          <w:p>
            <w:pPr>
              <w:jc w:val="center"/>
              <w:spacing w:after="0" w:line="125" w:lineRule="exact"/>
              <w:rPr>
                <w:sz w:val="20"/>
                <w:szCs w:val="20"/>
                <w:color w:val="auto"/>
              </w:rPr>
            </w:pPr>
            <w:r>
              <w:rPr>
                <w:rFonts w:ascii="Arial" w:cs="Arial" w:eastAsia="Arial" w:hAnsi="Arial"/>
                <w:sz w:val="11"/>
                <w:szCs w:val="11"/>
                <w:b w:val="1"/>
                <w:bCs w:val="1"/>
                <w:color w:val="auto"/>
                <w:w w:val="98"/>
              </w:rPr>
              <w:t>Percentage of</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center"/>
              <w:ind w:left="185"/>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60"/>
              <w:spacing w:after="0" w:line="125" w:lineRule="exact"/>
              <w:rPr>
                <w:sz w:val="20"/>
                <w:szCs w:val="20"/>
                <w:color w:val="auto"/>
              </w:rPr>
            </w:pPr>
            <w:r>
              <w:rPr>
                <w:rFonts w:ascii="Arial" w:cs="Arial" w:eastAsia="Arial" w:hAnsi="Arial"/>
                <w:sz w:val="11"/>
                <w:szCs w:val="11"/>
                <w:b w:val="1"/>
                <w:bCs w:val="1"/>
                <w:color w:val="auto"/>
              </w:rPr>
              <w:t>Beneficially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w w:val="99"/>
              </w:rPr>
              <w:t>Beneficial</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Voting</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jc w:val="center"/>
              <w:ind w:left="185"/>
              <w:spacing w:after="0" w:line="125" w:lineRule="exact"/>
              <w:rPr>
                <w:sz w:val="20"/>
                <w:szCs w:val="20"/>
                <w:color w:val="auto"/>
              </w:rPr>
            </w:pPr>
            <w:r>
              <w:rPr>
                <w:rFonts w:ascii="Arial" w:cs="Arial" w:eastAsia="Arial" w:hAnsi="Arial"/>
                <w:sz w:val="11"/>
                <w:szCs w:val="11"/>
                <w:b w:val="1"/>
                <w:bCs w:val="1"/>
                <w:color w:val="auto"/>
                <w:w w:val="98"/>
              </w:rPr>
              <w:t>Owned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60"/>
              <w:spacing w:after="0" w:line="125" w:lineRule="exact"/>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w w:val="98"/>
              </w:rPr>
              <w:t>Ownership</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Power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120" w:type="dxa"/>
            <w:vAlign w:val="bottom"/>
            <w:gridSpan w:val="3"/>
          </w:tcPr>
          <w:p>
            <w:pPr>
              <w:jc w:val="center"/>
              <w:ind w:right="20"/>
              <w:spacing w:after="0" w:line="125" w:lineRule="exact"/>
              <w:rPr>
                <w:sz w:val="20"/>
                <w:szCs w:val="20"/>
                <w:color w:val="auto"/>
              </w:rPr>
            </w:pPr>
            <w:r>
              <w:rPr>
                <w:rFonts w:ascii="Arial" w:cs="Arial" w:eastAsia="Arial" w:hAnsi="Arial"/>
                <w:sz w:val="11"/>
                <w:szCs w:val="11"/>
                <w:b w:val="1"/>
                <w:bCs w:val="1"/>
                <w:color w:val="auto"/>
              </w:rPr>
              <w:t>Ordinary Shares</w:t>
            </w:r>
          </w:p>
        </w:tc>
        <w:tc>
          <w:tcPr>
            <w:tcW w:w="40" w:type="dxa"/>
            <w:vAlign w:val="bottom"/>
          </w:tcPr>
          <w:p>
            <w:pPr>
              <w:spacing w:after="0"/>
              <w:rPr>
                <w:sz w:val="10"/>
                <w:szCs w:val="10"/>
                <w:color w:val="auto"/>
              </w:rPr>
            </w:pPr>
          </w:p>
        </w:tc>
        <w:tc>
          <w:tcPr>
            <w:tcW w:w="880" w:type="dxa"/>
            <w:vAlign w:val="bottom"/>
            <w:gridSpan w:val="3"/>
          </w:tcPr>
          <w:p>
            <w:pPr>
              <w:jc w:val="center"/>
              <w:ind w:left="185"/>
              <w:spacing w:after="0" w:line="125" w:lineRule="exact"/>
              <w:rPr>
                <w:sz w:val="20"/>
                <w:szCs w:val="20"/>
                <w:color w:val="auto"/>
              </w:rPr>
            </w:pPr>
            <w:r>
              <w:rPr>
                <w:rFonts w:ascii="Arial" w:cs="Arial" w:eastAsia="Arial" w:hAnsi="Arial"/>
                <w:sz w:val="11"/>
                <w:szCs w:val="11"/>
                <w:b w:val="1"/>
                <w:bCs w:val="1"/>
                <w:color w:val="auto"/>
              </w:rPr>
              <w:t>Immediately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40"/>
              <w:spacing w:after="0" w:line="125" w:lineRule="exact"/>
              <w:rPr>
                <w:sz w:val="20"/>
                <w:szCs w:val="20"/>
                <w:color w:val="auto"/>
              </w:rPr>
            </w:pPr>
            <w:r>
              <w:rPr>
                <w:rFonts w:ascii="Arial" w:cs="Arial" w:eastAsia="Arial" w:hAnsi="Arial"/>
                <w:sz w:val="11"/>
                <w:szCs w:val="11"/>
                <w:b w:val="1"/>
                <w:bCs w:val="1"/>
                <w:color w:val="auto"/>
              </w:rPr>
              <w:t>Immediately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Immediately</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Immediately</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120" w:type="dxa"/>
            <w:vAlign w:val="bottom"/>
            <w:gridSpan w:val="3"/>
          </w:tcPr>
          <w:p>
            <w:pPr>
              <w:jc w:val="center"/>
              <w:ind w:right="20"/>
              <w:spacing w:after="0" w:line="125" w:lineRule="exact"/>
              <w:rPr>
                <w:sz w:val="20"/>
                <w:szCs w:val="20"/>
                <w:color w:val="auto"/>
              </w:rPr>
            </w:pPr>
            <w:r>
              <w:rPr>
                <w:rFonts w:ascii="Arial" w:cs="Arial" w:eastAsia="Arial" w:hAnsi="Arial"/>
                <w:sz w:val="11"/>
                <w:szCs w:val="11"/>
                <w:b w:val="1"/>
                <w:bCs w:val="1"/>
                <w:color w:val="auto"/>
              </w:rPr>
              <w:t>Beneficially Owned</w:t>
            </w:r>
          </w:p>
        </w:tc>
        <w:tc>
          <w:tcPr>
            <w:tcW w:w="40" w:type="dxa"/>
            <w:vAlign w:val="bottom"/>
          </w:tcPr>
          <w:p>
            <w:pPr>
              <w:spacing w:after="0"/>
              <w:rPr>
                <w:sz w:val="10"/>
                <w:szCs w:val="10"/>
                <w:color w:val="auto"/>
              </w:rPr>
            </w:pPr>
          </w:p>
        </w:tc>
        <w:tc>
          <w:tcPr>
            <w:tcW w:w="880" w:type="dxa"/>
            <w:vAlign w:val="bottom"/>
            <w:gridSpan w:val="3"/>
          </w:tcPr>
          <w:p>
            <w:pPr>
              <w:jc w:val="center"/>
              <w:ind w:left="185"/>
              <w:spacing w:after="0" w:line="125" w:lineRule="exact"/>
              <w:rPr>
                <w:sz w:val="20"/>
                <w:szCs w:val="20"/>
                <w:color w:val="auto"/>
              </w:rPr>
            </w:pPr>
            <w:r>
              <w:rPr>
                <w:rFonts w:ascii="Arial" w:cs="Arial" w:eastAsia="Arial" w:hAnsi="Arial"/>
                <w:sz w:val="11"/>
                <w:szCs w:val="11"/>
                <w:b w:val="1"/>
                <w:bCs w:val="1"/>
                <w:color w:val="auto"/>
              </w:rPr>
              <w:t>After This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jc w:val="center"/>
              <w:ind w:left="160"/>
              <w:spacing w:after="0" w:line="125" w:lineRule="exact"/>
              <w:rPr>
                <w:sz w:val="20"/>
                <w:szCs w:val="20"/>
                <w:color w:val="auto"/>
              </w:rPr>
            </w:pPr>
            <w:r>
              <w:rPr>
                <w:rFonts w:ascii="Arial" w:cs="Arial" w:eastAsia="Arial" w:hAnsi="Arial"/>
                <w:sz w:val="11"/>
                <w:szCs w:val="11"/>
                <w:b w:val="1"/>
                <w:bCs w:val="1"/>
                <w:color w:val="auto"/>
                <w:w w:val="97"/>
              </w:rPr>
              <w:t>After This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After This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After This</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Prior to This Offering</w:t>
            </w:r>
          </w:p>
        </w:tc>
        <w:tc>
          <w:tcPr>
            <w:tcW w:w="40" w:type="dxa"/>
            <w:vAlign w:val="bottom"/>
          </w:tcPr>
          <w:p>
            <w:pPr>
              <w:spacing w:after="0"/>
              <w:rPr>
                <w:sz w:val="13"/>
                <w:szCs w:val="13"/>
                <w:color w:val="auto"/>
              </w:rPr>
            </w:pPr>
          </w:p>
        </w:tc>
        <w:tc>
          <w:tcPr>
            <w:tcW w:w="880" w:type="dxa"/>
            <w:vAlign w:val="bottom"/>
            <w:tcBorders>
              <w:bottom w:val="single" w:sz="8" w:color="auto"/>
            </w:tcBorders>
            <w:gridSpan w:val="3"/>
          </w:tcPr>
          <w:p>
            <w:pPr>
              <w:jc w:val="center"/>
              <w:ind w:left="185"/>
              <w:spacing w:after="0"/>
              <w:rPr>
                <w:sz w:val="20"/>
                <w:szCs w:val="20"/>
                <w:color w:val="auto"/>
              </w:rPr>
            </w:pPr>
            <w:r>
              <w:rPr>
                <w:rFonts w:ascii="Arial" w:cs="Arial" w:eastAsia="Arial" w:hAnsi="Arial"/>
                <w:sz w:val="11"/>
                <w:szCs w:val="11"/>
                <w:b w:val="1"/>
                <w:bCs w:val="1"/>
                <w:color w:val="auto"/>
              </w:rPr>
              <w:t>Offering</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gridSpan w:val="3"/>
          </w:tcPr>
          <w:p>
            <w:pPr>
              <w:jc w:val="center"/>
              <w:ind w:left="160"/>
              <w:spacing w:after="0"/>
              <w:rPr>
                <w:sz w:val="20"/>
                <w:szCs w:val="20"/>
                <w:color w:val="auto"/>
              </w:rPr>
            </w:pPr>
            <w:r>
              <w:rPr>
                <w:rFonts w:ascii="Arial" w:cs="Arial" w:eastAsia="Arial" w:hAnsi="Arial"/>
                <w:sz w:val="11"/>
                <w:szCs w:val="11"/>
                <w:b w:val="1"/>
                <w:bCs w:val="1"/>
                <w:color w:val="auto"/>
                <w:w w:val="98"/>
              </w:rPr>
              <w:t>Offering</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Offering</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Offering**</w:t>
            </w: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780" w:type="dxa"/>
            <w:vAlign w:val="bottom"/>
          </w:tcPr>
          <w:p>
            <w:pPr>
              <w:jc w:val="right"/>
              <w:ind w:right="117"/>
              <w:spacing w:after="0"/>
              <w:rPr>
                <w:sz w:val="20"/>
                <w:szCs w:val="20"/>
                <w:color w:val="auto"/>
              </w:rPr>
            </w:pPr>
            <w:r>
              <w:rPr>
                <w:rFonts w:ascii="Arial" w:cs="Arial" w:eastAsia="Arial" w:hAnsi="Arial"/>
                <w:sz w:val="11"/>
                <w:szCs w:val="11"/>
                <w:b w:val="1"/>
                <w:bCs w:val="1"/>
                <w:color w:val="auto"/>
              </w:rPr>
              <w:t>Number</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7"/>
                <w:szCs w:val="17"/>
                <w:color w:val="auto"/>
              </w:rPr>
            </w:pPr>
          </w:p>
        </w:tc>
        <w:tc>
          <w:tcPr>
            <w:tcW w:w="880" w:type="dxa"/>
            <w:vAlign w:val="bottom"/>
            <w:gridSpan w:val="3"/>
          </w:tcPr>
          <w:p>
            <w:pPr>
              <w:ind w:left="18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w w:val="99"/>
              </w:rPr>
              <w:t>%*</w:t>
            </w:r>
          </w:p>
        </w:tc>
        <w:tc>
          <w:tcPr>
            <w:tcW w:w="60" w:type="dxa"/>
            <w:vAlign w:val="bottom"/>
          </w:tcPr>
          <w:p>
            <w:pPr>
              <w:spacing w:after="0"/>
              <w:rPr>
                <w:sz w:val="17"/>
                <w:szCs w:val="17"/>
                <w:color w:val="auto"/>
              </w:rPr>
            </w:pPr>
          </w:p>
        </w:tc>
        <w:tc>
          <w:tcPr>
            <w:tcW w:w="880" w:type="dxa"/>
            <w:vAlign w:val="bottom"/>
            <w:gridSpan w:val="3"/>
          </w:tcPr>
          <w:p>
            <w:pPr>
              <w:ind w:left="18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w w:val="99"/>
              </w:rPr>
              <w:t>%*</w:t>
            </w: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w:t>
            </w:r>
          </w:p>
        </w:tc>
        <w:tc>
          <w:tcPr>
            <w:tcW w:w="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3"/>
        </w:trPr>
        <w:tc>
          <w:tcPr>
            <w:tcW w:w="130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Principal</w:t>
            </w: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Shareholders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line="142" w:lineRule="exact"/>
              <w:rPr>
                <w:sz w:val="20"/>
                <w:szCs w:val="20"/>
                <w:color w:val="auto"/>
              </w:rPr>
            </w:pPr>
            <w:r>
              <w:rPr>
                <w:rFonts w:ascii="Arial" w:cs="Arial" w:eastAsia="Arial" w:hAnsi="Arial"/>
                <w:sz w:val="14"/>
                <w:szCs w:val="14"/>
                <w:color w:val="auto"/>
              </w:rPr>
              <w:t>Binary Sky</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7"/>
              </w:rPr>
              <w:t>434,762,293</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46.2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89,229,380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vMerge w:val="restart"/>
          </w:tcPr>
          <w:p>
            <w:pPr>
              <w:jc w:val="right"/>
              <w:spacing w:after="0"/>
              <w:rPr>
                <w:sz w:val="20"/>
                <w:szCs w:val="20"/>
                <w:color w:val="auto"/>
              </w:rPr>
            </w:pPr>
            <w:r>
              <w:rPr>
                <w:rFonts w:ascii="Arial" w:cs="Arial" w:eastAsia="Arial" w:hAnsi="Arial"/>
                <w:sz w:val="14"/>
                <w:szCs w:val="14"/>
                <w:color w:val="auto"/>
              </w:rPr>
              <w:t>8.9 331,292,603 33.1</w:t>
            </w: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42.0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01"/>
        </w:trPr>
        <w:tc>
          <w:tcPr>
            <w:tcW w:w="1300" w:type="dxa"/>
            <w:vAlign w:val="bottom"/>
          </w:tcPr>
          <w:p>
            <w:pPr>
              <w:ind w:left="140"/>
              <w:spacing w:after="0"/>
              <w:rPr>
                <w:sz w:val="20"/>
                <w:szCs w:val="20"/>
                <w:color w:val="auto"/>
              </w:rPr>
            </w:pPr>
            <w:r>
              <w:rPr>
                <w:rFonts w:ascii="Arial" w:cs="Arial" w:eastAsia="Arial" w:hAnsi="Arial"/>
                <w:sz w:val="14"/>
                <w:szCs w:val="14"/>
                <w:color w:val="auto"/>
              </w:rPr>
              <w:t>Limited</w:t>
            </w:r>
            <w:r>
              <w:rPr>
                <w:rFonts w:ascii="Arial" w:cs="Arial" w:eastAsia="Arial" w:hAnsi="Arial"/>
                <w:sz w:val="16"/>
                <w:szCs w:val="16"/>
                <w:color w:val="auto"/>
                <w:vertAlign w:val="superscript"/>
              </w:rPr>
              <w:t>(1)</w:t>
            </w:r>
          </w:p>
        </w:tc>
        <w:tc>
          <w:tcPr>
            <w:tcW w:w="7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6"/>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5Y Capital</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Entities</w:t>
            </w:r>
            <w:r>
              <w:rPr>
                <w:rFonts w:ascii="Arial" w:cs="Arial" w:eastAsia="Arial" w:hAnsi="Arial"/>
                <w:sz w:val="16"/>
                <w:szCs w:val="16"/>
                <w:color w:val="auto"/>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94,171,764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94,171,764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c>
          <w:tcPr>
            <w:tcW w:w="8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7"/>
        </w:trPr>
        <w:tc>
          <w:tcPr>
            <w:tcW w:w="1300" w:type="dxa"/>
            <w:vAlign w:val="bottom"/>
          </w:tcPr>
          <w:p>
            <w:pPr>
              <w:spacing w:after="0" w:line="137" w:lineRule="exact"/>
              <w:rPr>
                <w:sz w:val="20"/>
                <w:szCs w:val="20"/>
                <w:color w:val="auto"/>
              </w:rPr>
            </w:pPr>
            <w:r>
              <w:rPr>
                <w:rFonts w:ascii="Arial" w:cs="Arial" w:eastAsia="Arial" w:hAnsi="Arial"/>
                <w:sz w:val="14"/>
                <w:szCs w:val="14"/>
                <w:color w:val="auto"/>
              </w:rPr>
              <w:t>API (HONG</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ind w:left="140"/>
              <w:spacing w:after="0" w:line="156" w:lineRule="exact"/>
              <w:rPr>
                <w:sz w:val="20"/>
                <w:szCs w:val="20"/>
                <w:color w:val="auto"/>
              </w:rPr>
            </w:pPr>
            <w:r>
              <w:rPr>
                <w:rFonts w:ascii="Arial" w:cs="Arial" w:eastAsia="Arial" w:hAnsi="Arial"/>
                <w:sz w:val="14"/>
                <w:szCs w:val="14"/>
                <w:color w:val="auto"/>
              </w:rPr>
              <w:t>KONG)</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00" w:type="dxa"/>
            <w:vAlign w:val="bottom"/>
          </w:tcPr>
          <w:p>
            <w:pPr>
              <w:ind w:left="140"/>
              <w:spacing w:after="0"/>
              <w:rPr>
                <w:sz w:val="20"/>
                <w:szCs w:val="20"/>
                <w:color w:val="auto"/>
              </w:rPr>
            </w:pPr>
            <w:r>
              <w:rPr>
                <w:rFonts w:ascii="Arial" w:cs="Arial" w:eastAsia="Arial" w:hAnsi="Arial"/>
                <w:sz w:val="14"/>
                <w:szCs w:val="14"/>
                <w:color w:val="auto"/>
              </w:rPr>
              <w:t>INVESTMENT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88,188,400</w:t>
            </w:r>
          </w:p>
        </w:tc>
        <w:tc>
          <w:tcPr>
            <w:tcW w:w="1540" w:type="dxa"/>
            <w:vAlign w:val="bottom"/>
            <w:gridSpan w:val="8"/>
            <w:vMerge w:val="restart"/>
          </w:tcPr>
          <w:p>
            <w:pPr>
              <w:jc w:val="right"/>
              <w:ind w:right="60"/>
              <w:spacing w:after="0"/>
              <w:rPr>
                <w:sz w:val="20"/>
                <w:szCs w:val="20"/>
                <w:color w:val="auto"/>
              </w:rPr>
            </w:pPr>
            <w:r>
              <w:rPr>
                <w:rFonts w:ascii="Arial" w:cs="Arial" w:eastAsia="Arial" w:hAnsi="Arial"/>
                <w:sz w:val="14"/>
                <w:szCs w:val="14"/>
                <w:color w:val="auto"/>
              </w:rPr>
              <w:t>9.4 118,776,620 11.9</w:t>
            </w:r>
          </w:p>
        </w:tc>
        <w:tc>
          <w:tcPr>
            <w:tcW w:w="880" w:type="dxa"/>
            <w:vAlign w:val="bottom"/>
            <w:gridSpan w:val="3"/>
            <w:vMerge w:val="restart"/>
          </w:tcPr>
          <w:p>
            <w:pPr>
              <w:ind w:left="6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11.9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1"/>
        </w:trPr>
        <w:tc>
          <w:tcPr>
            <w:tcW w:w="1300" w:type="dxa"/>
            <w:vAlign w:val="bottom"/>
          </w:tcPr>
          <w:p>
            <w:pPr>
              <w:ind w:left="140"/>
              <w:spacing w:after="0"/>
              <w:rPr>
                <w:sz w:val="20"/>
                <w:szCs w:val="20"/>
                <w:color w:val="auto"/>
              </w:rPr>
            </w:pPr>
            <w:r>
              <w:rPr>
                <w:rFonts w:ascii="Arial" w:cs="Arial" w:eastAsia="Arial" w:hAnsi="Arial"/>
                <w:sz w:val="14"/>
                <w:szCs w:val="14"/>
                <w:color w:val="auto"/>
              </w:rPr>
              <w:t>LIMITED</w:t>
            </w:r>
            <w:r>
              <w:rPr>
                <w:rFonts w:ascii="Arial" w:cs="Arial" w:eastAsia="Arial" w:hAnsi="Arial"/>
                <w:sz w:val="16"/>
                <w:szCs w:val="16"/>
                <w:color w:val="auto"/>
                <w:vertAlign w:val="superscript"/>
              </w:rPr>
              <w:t>(5)</w:t>
            </w:r>
          </w:p>
        </w:tc>
        <w:tc>
          <w:tcPr>
            <w:tcW w:w="780" w:type="dxa"/>
            <w:vAlign w:val="bottom"/>
            <w:vMerge w:val="continue"/>
          </w:tcPr>
          <w:p>
            <w:pPr>
              <w:spacing w:after="0"/>
              <w:rPr>
                <w:sz w:val="17"/>
                <w:szCs w:val="17"/>
                <w:color w:val="auto"/>
              </w:rPr>
            </w:pPr>
          </w:p>
        </w:tc>
        <w:tc>
          <w:tcPr>
            <w:tcW w:w="1540" w:type="dxa"/>
            <w:vAlign w:val="bottom"/>
            <w:gridSpan w:val="8"/>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Primavera</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Entities</w:t>
            </w:r>
            <w:r>
              <w:rPr>
                <w:rFonts w:ascii="Arial" w:cs="Arial" w:eastAsia="Arial" w:hAnsi="Arial"/>
                <w:sz w:val="16"/>
                <w:szCs w:val="16"/>
                <w:color w:val="auto"/>
                <w:vertAlign w:val="superscript"/>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65,666,237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65,666,237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8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6"/>
        </w:trPr>
        <w:tc>
          <w:tcPr>
            <w:tcW w:w="1300" w:type="dxa"/>
            <w:vAlign w:val="bottom"/>
          </w:tcPr>
          <w:p>
            <w:pPr>
              <w:spacing w:after="0"/>
              <w:rPr>
                <w:sz w:val="20"/>
                <w:szCs w:val="20"/>
                <w:color w:val="auto"/>
              </w:rPr>
            </w:pPr>
            <w:r>
              <w:rPr>
                <w:rFonts w:ascii="Arial" w:cs="Arial" w:eastAsia="Arial" w:hAnsi="Arial"/>
                <w:sz w:val="14"/>
                <w:szCs w:val="14"/>
                <w:color w:val="auto"/>
              </w:rPr>
              <w:t>Cygnus Entities</w:t>
            </w:r>
            <w:r>
              <w:rPr>
                <w:rFonts w:ascii="Arial" w:cs="Arial" w:eastAsia="Arial" w:hAnsi="Arial"/>
                <w:sz w:val="16"/>
                <w:szCs w:val="16"/>
                <w:color w:val="auto"/>
                <w:vertAlign w:val="superscript"/>
              </w:rPr>
              <w:t>(7)</w:t>
            </w:r>
          </w:p>
        </w:tc>
        <w:tc>
          <w:tcPr>
            <w:tcW w:w="780" w:type="dxa"/>
            <w:vAlign w:val="bottom"/>
          </w:tcPr>
          <w:p>
            <w:pPr>
              <w:jc w:val="right"/>
              <w:spacing w:after="0"/>
              <w:rPr>
                <w:sz w:val="20"/>
                <w:szCs w:val="20"/>
                <w:color w:val="auto"/>
              </w:rPr>
            </w:pPr>
            <w:r>
              <w:rPr>
                <w:rFonts w:ascii="Arial" w:cs="Arial" w:eastAsia="Arial" w:hAnsi="Arial"/>
                <w:sz w:val="14"/>
                <w:szCs w:val="14"/>
                <w:color w:val="auto"/>
              </w:rPr>
              <w:t>57,079,724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57,079,724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5.7</w:t>
            </w:r>
          </w:p>
        </w:tc>
        <w:tc>
          <w:tcPr>
            <w:tcW w:w="88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5.7</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63"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Notes:</w:t>
      </w:r>
    </w:p>
    <w:p>
      <w:pPr>
        <w:spacing w:after="0" w:line="12" w:lineRule="exact"/>
        <w:rPr>
          <w:sz w:val="20"/>
          <w:szCs w:val="20"/>
          <w:color w:val="auto"/>
        </w:rPr>
      </w:pPr>
    </w:p>
    <w:p>
      <w:pPr>
        <w:jc w:val="right"/>
        <w:ind w:left="1640" w:right="1398" w:hanging="225"/>
        <w:spacing w:after="0" w:line="236" w:lineRule="auto"/>
        <w:tabs>
          <w:tab w:leader="none" w:pos="1597" w:val="left"/>
        </w:tabs>
        <w:numPr>
          <w:ilvl w:val="0"/>
          <w:numId w:val="119"/>
        </w:numPr>
        <w:rPr>
          <w:rFonts w:ascii="Arial" w:cs="Arial" w:eastAsia="Arial" w:hAnsi="Arial"/>
          <w:sz w:val="11"/>
          <w:szCs w:val="11"/>
          <w:color w:val="auto"/>
        </w:rPr>
      </w:pPr>
      <w:r>
        <w:rPr>
          <w:rFonts w:ascii="Arial" w:cs="Arial" w:eastAsia="Arial" w:hAnsi="Arial"/>
          <w:sz w:val="11"/>
          <w:szCs w:val="11"/>
          <w:color w:val="auto"/>
        </w:rPr>
        <w:t>For each person and group included in this table, percentage ownership is calculated by dividing the number of shares beneficially owned by such person or group by the sum of (i) 941,449,847, being the number of ordinary shares on an as-converted basis outstanding as of the date of this prospectus, or 1,001,449,847, being the number of ordinary shares on an as-converted basis outstanding immediately after the completion of this offering, assuming that the underwriters do not exercise their option to purchase additional ADSs as the case may be, and (ii) the number of ordinary shares underlying share options held by such person or group that are exercisable within 60 days after the date of this prospectus. For more</w:t>
      </w:r>
    </w:p>
    <w:p>
      <w:pPr>
        <w:spacing w:after="0" w:line="1" w:lineRule="exact"/>
        <w:rPr>
          <w:sz w:val="20"/>
          <w:szCs w:val="20"/>
          <w:color w:val="auto"/>
        </w:rPr>
      </w:pPr>
    </w:p>
    <w:p>
      <w:pPr>
        <w:ind w:left="1640" w:right="1398"/>
        <w:spacing w:after="0" w:line="236" w:lineRule="auto"/>
        <w:rPr>
          <w:sz w:val="20"/>
          <w:szCs w:val="20"/>
          <w:color w:val="auto"/>
        </w:rPr>
      </w:pPr>
      <w:r>
        <w:rPr>
          <w:rFonts w:ascii="Arial" w:cs="Arial" w:eastAsia="Arial" w:hAnsi="Arial"/>
          <w:sz w:val="11"/>
          <w:szCs w:val="11"/>
          <w:color w:val="auto"/>
        </w:rPr>
        <w:t>information about how we calculate the number of ordinary shares on an as-converted basis outstanding immediately after the completion of this offering, see “Summary — The Offering.”</w:t>
      </w:r>
    </w:p>
    <w:p>
      <w:pPr>
        <w:ind w:left="1640" w:right="1398" w:hanging="225"/>
        <w:spacing w:after="0" w:line="236" w:lineRule="auto"/>
        <w:tabs>
          <w:tab w:leader="none" w:pos="1588" w:val="left"/>
        </w:tabs>
        <w:numPr>
          <w:ilvl w:val="0"/>
          <w:numId w:val="120"/>
        </w:numPr>
        <w:rPr>
          <w:rFonts w:ascii="Arial" w:cs="Arial" w:eastAsia="Arial" w:hAnsi="Arial"/>
          <w:sz w:val="11"/>
          <w:szCs w:val="11"/>
          <w:color w:val="auto"/>
        </w:rPr>
      </w:pPr>
      <w:r>
        <w:rPr>
          <w:rFonts w:ascii="Arial" w:cs="Arial" w:eastAsia="Arial" w:hAnsi="Arial"/>
          <w:sz w:val="11"/>
          <w:szCs w:val="11"/>
          <w:color w:val="auto"/>
        </w:rPr>
        <w:t>For each person and group included in this column, percentage of voting power is calculated by dividing the voting power beneficially owned by such person or group by the voting power of all of our ordinary shares as a single class.</w:t>
      </w:r>
    </w:p>
    <w:p>
      <w:pPr>
        <w:ind w:left="1620" w:hanging="205"/>
        <w:spacing w:after="0" w:line="236" w:lineRule="auto"/>
        <w:tabs>
          <w:tab w:leader="none" w:pos="162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Except as indicated otherwise below, the business address of our directors and executive officers is No. 2 Wangjiang North</w:t>
      </w:r>
    </w:p>
    <w:p>
      <w:pPr>
        <w:ind w:left="1640"/>
        <w:spacing w:after="0" w:line="237" w:lineRule="auto"/>
        <w:rPr>
          <w:sz w:val="20"/>
          <w:szCs w:val="20"/>
          <w:color w:val="auto"/>
        </w:rPr>
      </w:pPr>
      <w:r>
        <w:rPr>
          <w:rFonts w:ascii="Arial" w:cs="Arial" w:eastAsia="Arial" w:hAnsi="Arial"/>
          <w:sz w:val="11"/>
          <w:szCs w:val="11"/>
          <w:color w:val="auto"/>
        </w:rPr>
        <w:t>Road, Room 148, Zhongshan Community, Baiyun Street, Dongyang, Jinhua City, Zhejiang Province, China.</w:t>
      </w:r>
    </w:p>
    <w:p>
      <w:pPr>
        <w:jc w:val="both"/>
        <w:ind w:left="1640" w:right="1398" w:hanging="225"/>
        <w:spacing w:after="0" w:line="236" w:lineRule="auto"/>
        <w:tabs>
          <w:tab w:leader="none" w:pos="1637"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 ordinary shares beneficially owned by Mr. Junhong Yao represents the sum of (i) 108,330,350 ordinary shares and 1,132,736 Series F preferred shares (convertible into 1,139,559 ordinary shares after giving effect to certain anti-dilution mechanism) held of record by Binary Sky Limited, a company registered in British Virgin Islands; (ii) an aggregate of 14,235,256 ordinary shares and/or preferred shares (convertible into an aggregate of 14,240,310 ordinary shares after giving effect to certain anti-dilution mechanism) held of record by certain minority shareholders of our company, the voting power of which were delegated to Mr. Yao and/or Binary Sky Limited and will be terminated after the completion of this offering; (iii) 108,466,752 Series E-1 preferred shares, 96,088,171 Series E-2 preferred shares and 17,239,717 Series E-3 preferred shares (convertible into 17,267,771 ordinary shares after giving effect to certain anti-dilution mechanism), held by Cheche Group Limited, a company organized under the laws of the British Virgin Island; (iv) 1,500,000 ordinary shares, 44,094,200 Series D-1 preferred shares and 43,635,180 Series E-2 preferred shares, held by Crystal Gem Holdings Limited, a company organized under the laws of the British Virgin Islands. Binary Sky Limited is 99% owned by Octonary Ocean Limited, which is in turn wholly owned by a discretionary trust for which TMF (Cayman) Ltd. acts as the trustee, and</w:t>
      </w:r>
    </w:p>
    <w:p>
      <w:pPr>
        <w:spacing w:after="0" w:line="1" w:lineRule="exact"/>
        <w:rPr>
          <w:rFonts w:ascii="Arial" w:cs="Arial" w:eastAsia="Arial" w:hAnsi="Arial"/>
          <w:sz w:val="11"/>
          <w:szCs w:val="11"/>
          <w:color w:val="auto"/>
        </w:rPr>
      </w:pPr>
    </w:p>
    <w:p>
      <w:pPr>
        <w:jc w:val="both"/>
        <w:ind w:left="1640" w:right="1398"/>
        <w:spacing w:after="0" w:line="237" w:lineRule="auto"/>
        <w:rPr>
          <w:rFonts w:ascii="Arial" w:cs="Arial" w:eastAsia="Arial" w:hAnsi="Arial"/>
          <w:sz w:val="11"/>
          <w:szCs w:val="11"/>
          <w:color w:val="auto"/>
        </w:rPr>
      </w:pPr>
      <w:r>
        <w:rPr>
          <w:rFonts w:ascii="Arial" w:cs="Arial" w:eastAsia="Arial" w:hAnsi="Arial"/>
          <w:sz w:val="11"/>
          <w:szCs w:val="11"/>
          <w:color w:val="auto"/>
        </w:rPr>
        <w:t>(v) 4,206,000 ordinary shares underlying equity awards held by Mr. Junhong Yao that are exercisable within 60 days after the date of this prospectus. Mr. Yao is the settlor and the first protector of such discretionary trust, retaining the investment and dispositive powers with respect to the assets of the trust. Mr. Yao and his family are the beneficiaries of the trust. The voting power of the foregoing 14,235,256 ordinary shares and/or preferred shares held by record by certain minority shareholders is vested with Binary Sky Limited and therefore, Binary Sky Limited may be deemed to beneficially own these shares. Such voting arrangement will terminate immediately upon the initial public offering. Mr. Yao and Binary Sky Limited disclaim the pecuniary ownership for such 14,235,256 ordinary shares and/or preferred shares. Cheche Group Limited is controlled by Binary Sky Limited. In September 2023, Cheche Group Limited acquired 108,466,752 Series E-1 preferred shares, 96,088,171 Series E-2 preferred shares and 17,239,717 Series E-3 preferred shares (convertible into 17,267,771 ordinary shares after giving effect to certain anti-dilution mechanism) from Weimarer Limited. Crystal Gem Holdings Limited is controlled by Cheche Group Limited and Cheche Group acquired Crystal Gem from certain Warburg Pincus entities in 2025. Immediately prior to the completion of this offering, a total of 331,292,603 ordinary shares held of record by Binary Sky Limited and Cheche Group Limited will be re-designated into Class B ordinary shares on a one-for-one basis, and a total of 89,229,380 held by Crystal Gem Holdings Limited will be re-designated into Class A ordinary shares on a one-for-one basis, and the remaining 4,581,000 ordinary shares underlying the equity awards held by Mr. Junhong Yao will be re-designated into Class A ordinary shares. The registered address of Binary Sky Limited is Kingston Chambers, PO Box 173, Road Town, Tortola, British Virgin Islands. The registered address of Cheche Group Limited is Kingston Chambers, PO Box 173, Road Town, Tortola, British Virgin Islands. The registered address of Crystal Gem Holdings is Kingston Chambers, PO Box 173, Road Town, Tortola, British Virgin Islands.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0" w:name="page251"/>
    <w:bookmarkEnd w:id="25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7" w:lineRule="exact"/>
        <w:rPr>
          <w:sz w:val="20"/>
          <w:szCs w:val="20"/>
          <w:color w:val="auto"/>
        </w:rPr>
      </w:pPr>
    </w:p>
    <w:p>
      <w:pPr>
        <w:jc w:val="both"/>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(i) 5,000,000 held of record by Dream Car Limited, a company registered in British Virgin Islands, and (ii) 7,870,519 ordinary shares underlying equity awards held by Mr. Liyu Zhang that are exercisable within 60 days after the date of this prospectus. Immediately prior to the completion of this offering, all such ordinary shares will be re-designated into Class A ordinary shares on a one-for-one basis. Dream Car Limited is 99% owned by Visionary Car Limited, which is in turn wholly owned by a discretionary trust for which TMF (Cayman) Ltd. acts as the trustee. Mr. Zhang is the settlor and the protector of such discretionary trust, retaining the investment and dispositive powers with respect to the assets of the trust. Mr. Zhang and his family are the beneficiaries of the trust. The registered address of Dream Car Limited is Kingston Chambers, PO Box 173, Road Town, Tortola, British Virgin Islands.</w:t>
      </w:r>
    </w:p>
    <w:p>
      <w:pPr>
        <w:spacing w:after="0" w:line="1" w:lineRule="exact"/>
        <w:rPr>
          <w:rFonts w:ascii="Arial" w:cs="Arial" w:eastAsia="Arial" w:hAnsi="Arial"/>
          <w:sz w:val="11"/>
          <w:szCs w:val="11"/>
          <w:color w:val="auto"/>
        </w:rPr>
      </w:pPr>
    </w:p>
    <w:p>
      <w:pPr>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10,861,789 ordinary shares underlying equity awards held by Ms. Qin Zou that are exercisable within 60 days after the date of this prospectus, which will be re-designated into Class A ordinary shares immediately after this offering.</w:t>
      </w:r>
    </w:p>
    <w:p>
      <w:pPr>
        <w:jc w:val="both"/>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(i) 46,135,648 Series A-2 preferred shares held by Morningside China TMT Fund II, L.P., an exempted limited partnership organized under the laws of Cayman Islands; (ii) 9,787,470 Series B preferred shares held by Morningside China TMT Fund II, L.P.; (iii) 6,614,130 Series D-1 preferred shares held by Morningside China TMT Fund II, L.P.;</w:t>
      </w:r>
    </w:p>
    <w:p>
      <w:pPr>
        <w:jc w:val="both"/>
        <w:ind w:left="1640" w:right="1398" w:hanging="3"/>
        <w:spacing w:after="0" w:line="236" w:lineRule="auto"/>
        <w:tabs>
          <w:tab w:leader="none" w:pos="1847" w:val="left"/>
        </w:tabs>
        <w:numPr>
          <w:ilvl w:val="1"/>
          <w:numId w:val="123"/>
        </w:numPr>
        <w:rPr>
          <w:rFonts w:ascii="Arial" w:cs="Arial" w:eastAsia="Arial" w:hAnsi="Arial"/>
          <w:sz w:val="11"/>
          <w:szCs w:val="11"/>
          <w:color w:val="auto"/>
        </w:rPr>
      </w:pPr>
      <w:r>
        <w:rPr>
          <w:rFonts w:ascii="Arial" w:cs="Arial" w:eastAsia="Arial" w:hAnsi="Arial"/>
          <w:sz w:val="11"/>
          <w:szCs w:val="11"/>
          <w:color w:val="auto"/>
        </w:rPr>
        <w:t>4,409,420 Series D-1 preferred shares held by Morningside China TMT Top Up Fund, L.P., an exempted limited partnership organized under the laws of Cayman Islands; (v) 25,859,576 Series E-3 preferred shares (convertible into 25,901,657 ordinary shares after giving effect to certain anti-dilution mechanism) held by MSVC SPF I, L.P., an exempted limited partnership established under the laws of Cayman Islands; and (vi) 1,315,515 Series F preferred shares (convertible into 1,323,439 ordinary shares after giving effect to certain anti-dilution mechanism) held by Morningside China TMT Fund II, L.P. Each of Morningside China TMT Fund II, L.P. and Morningside China TMT Top Up Fund, L.P. is controlled by Morningside China TMT GP II, L.P., their general partner. Morningside China TMT GP II, L.P. is, in turn, controlled by TMT General Partner Ltd., its general partner. MSVC SPF I, L.P. is controlled by MSVC SPF I GP, L.P., its general partner. MSVC SPF I GP, L.P. is controlled by TMT General Partner Ltd., its general partner. TMT General Partner Ltd. is controlled by its board consisting of three individuals, including Jianming Shi, Qin Liu and Gerald Lokchung Chan, who have the voting and dispositive powers over the shares held by Morningside China TMT Fund II, L.P., Morningside China TMT Top Up Fund. L.P. and MSVC SPF I, L.P. Immediately prior to the completion of this offering, all the 94,171,764 ordinary shares will be re-designated into Class A ordinary shares on a one-for-one basis. The registered office of Morningside China TMT Fund II, L.P., Morningside China TMT Top Up Fund, L.P. and MSVC SPF I, L.P. is PO Box 1350, Windward 3, Regatta Office Park, Grand Cayman KY1-1108, Cayman Islands.</w:t>
      </w:r>
    </w:p>
    <w:p>
      <w:pPr>
        <w:spacing w:after="0" w:line="2" w:lineRule="exact"/>
        <w:rPr>
          <w:rFonts w:ascii="Arial" w:cs="Arial" w:eastAsia="Arial" w:hAnsi="Arial"/>
          <w:sz w:val="11"/>
          <w:szCs w:val="11"/>
          <w:color w:val="auto"/>
        </w:rPr>
      </w:pPr>
    </w:p>
    <w:p>
      <w:pPr>
        <w:jc w:val="both"/>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88,188,400 Series D preferred shares held by API (HONG KONG) INVESTMENT LIMITED, a limited liability company incorporated in Hong Kong. In addition, API (HONG KONG) INVESTMENT LIMITED (together with its affiliates, “API”), through one of its affiliates, has subscribed for, and been allocated by the underwriters an aggregate of 1,529,411 ADSs. API (HONG KONG) INVESTMENT LIMITED is wholly owned by Ant Group Co., Ltd. Ant Group Co., Ltd.’s board consists of nine individuals, namely Xiandong JING, Xinyi HAN, Joe TSAI, Toby Hong XU, Quan HAO, Yiping HUANG, Xiaolei YANG, Laura May-Lung CHA and Hongjiang ZHANG. Immediately prior to the completion of this offering, all the 88,188,400 ordinary shares will be re-designated into Class A ordinary shares on a one-for-one basis. The registered office of API (HONG KONG) INVESTMENT LIMITED is 23/F, Tower One, Times Square, 1 Matheson Street, Causeway Bay, Hong Kong.</w:t>
      </w:r>
    </w:p>
    <w:p>
      <w:pPr>
        <w:spacing w:after="0" w:line="1" w:lineRule="exact"/>
        <w:rPr>
          <w:rFonts w:ascii="Arial" w:cs="Arial" w:eastAsia="Arial" w:hAnsi="Arial"/>
          <w:sz w:val="11"/>
          <w:szCs w:val="11"/>
          <w:color w:val="auto"/>
        </w:rPr>
      </w:pPr>
    </w:p>
    <w:p>
      <w:pPr>
        <w:jc w:val="both"/>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(i) 11,023,550 Series D-1 preferred shares and 11,283,795 Series E-2 preferred shares held by PV Milky Way Limited, a company organized under the laws of the British Virgin Islands; and (ii) 43,099,293 Series F preferred shares (convertible into 43,358,892 ordinary shares after giving effect to certain anti-dilution mechanism) held by PV Gearbox II Limited, a company organized under the laws of the British Virgin Islands. PV Milky Way Limited is a wholly owned subsidiary of Primavera Capital Fund II L.P., the general partner of which is Primavera Capital GP II Ltd. Primavera Capital GP II Ltd. is controlled by its board consisting of three individuals, including Zuliu Hu, Richard Alvah Ruffer Jr. and Leon Dwayne Rhule, who have the voting power and dispositive power over the shares held by PV Milky Way Limited. PV Gearbox II Limited is a wholly owned subsidiary of Primavera Capital Fund III L.P., the general partner of which is Primavera Capital GP III Ltd. Primavera Capital GP III Ltd. is controlled by its board consisting of three individuals, including Zuliu Hu, Richard Alvah Ruffer Jr. and Leon Dwayne Rhule, who have the voting power and dispositive power over the shares held by PV Gear Box II Limited. Immediately prior to the completion of this offering, all the 65,666,237 ordinary shares will be re-designated into Class A ordinary shares on a one-for-one basis. The registered office of PV Milky Way Limited is Vista Corporate Services Center, Wickhams Cay II, Road Town, Tortola, VG1110, British Virgin Islands. The registered office of PV Gearbox II Limited is Vista Corporate Services Center, Wickhams Cay II, Road Town, Tortola, VG1110, British Virgin Islands.</w:t>
      </w:r>
    </w:p>
    <w:p>
      <w:pPr>
        <w:spacing w:after="0" w:line="2" w:lineRule="exact"/>
        <w:rPr>
          <w:rFonts w:ascii="Arial" w:cs="Arial" w:eastAsia="Arial" w:hAnsi="Arial"/>
          <w:sz w:val="11"/>
          <w:szCs w:val="11"/>
          <w:color w:val="auto"/>
        </w:rPr>
      </w:pPr>
    </w:p>
    <w:p>
      <w:pPr>
        <w:jc w:val="both"/>
        <w:ind w:left="1640" w:right="1398" w:hanging="225"/>
        <w:spacing w:after="0" w:line="236" w:lineRule="auto"/>
        <w:tabs>
          <w:tab w:leader="none" w:pos="1637" w:val="left"/>
        </w:tabs>
        <w:numPr>
          <w:ilvl w:val="0"/>
          <w:numId w:val="123"/>
        </w:numPr>
        <w:rPr>
          <w:rFonts w:ascii="Arial" w:cs="Arial" w:eastAsia="Arial" w:hAnsi="Arial"/>
          <w:sz w:val="11"/>
          <w:szCs w:val="11"/>
          <w:color w:val="auto"/>
        </w:rPr>
      </w:pPr>
      <w:r>
        <w:rPr>
          <w:rFonts w:ascii="Arial" w:cs="Arial" w:eastAsia="Arial" w:hAnsi="Arial"/>
          <w:sz w:val="11"/>
          <w:szCs w:val="11"/>
          <w:color w:val="auto"/>
        </w:rPr>
        <w:t>Represents (i) 7,522,530 Series D-1 preferred shares held by Doyen Cygnus Education Fund, L.P., a limited partnership organized under the laws of Cayman Islands; (ii) 19,842,390 Series D-1 preferred shares held by Cygnus Equity Sport I, L.P., a limited partnership organized under the laws of Cayman Islands; (iii) 13,228,260 Series D-1 preferred shares held by Cygnus Equity Sport II, L.P., a limited partnership organized under the laws of Cayman Islands; (iv) 9,709,376 Series E-2 preferred shares held by Cygnus Equity Fund III, L.P., a limited partnership organized under the laws of Cayman Islands; to our knowledge, Cygnus Equity Fund III, L.P. holds a 64.5% interest in CMBI Private Equity Series SPC; and</w:t>
      </w:r>
    </w:p>
    <w:p>
      <w:pPr>
        <w:jc w:val="both"/>
        <w:ind w:left="1640" w:right="1398" w:hanging="3"/>
        <w:spacing w:after="0" w:line="241" w:lineRule="auto"/>
        <w:tabs>
          <w:tab w:leader="none" w:pos="1821" w:val="left"/>
        </w:tabs>
        <w:numPr>
          <w:ilvl w:val="1"/>
          <w:numId w:val="124"/>
        </w:numPr>
        <w:rPr>
          <w:rFonts w:ascii="Arial" w:cs="Arial" w:eastAsia="Arial" w:hAnsi="Arial"/>
          <w:sz w:val="11"/>
          <w:szCs w:val="11"/>
          <w:color w:val="auto"/>
        </w:rPr>
      </w:pPr>
      <w:r>
        <w:rPr>
          <w:rFonts w:ascii="Arial" w:cs="Arial" w:eastAsia="Arial" w:hAnsi="Arial"/>
          <w:sz w:val="11"/>
          <w:szCs w:val="11"/>
          <w:color w:val="auto"/>
        </w:rPr>
        <w:t>6,736,592 Series F preferred shares (convertible into 6,777,168 ordinary shares after giving effect to certain anti-dilution mechanism) held by Cygnus Equity Fund IV, L.P., a limited partnership organized under the laws of Cayman Islands. Each of Doyen Cygnus Education Fund, L.P., Cygnus Equity Sport I, L.P., Cygnus Equity Sport II, L.P., Cygnus Equity Fund III, L.P. and Cygnus Equity</w:t>
      </w:r>
    </w:p>
    <w:p>
      <w:pPr>
        <w:spacing w:after="0" w:line="10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1" w:name="page252"/>
    <w:bookmarkEnd w:id="25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7" w:lineRule="exact"/>
        <w:rPr>
          <w:sz w:val="20"/>
          <w:szCs w:val="20"/>
          <w:color w:val="auto"/>
        </w:rPr>
      </w:pPr>
    </w:p>
    <w:p>
      <w:pPr>
        <w:jc w:val="both"/>
        <w:ind w:left="1640" w:right="1398"/>
        <w:spacing w:after="0" w:line="236" w:lineRule="auto"/>
        <w:rPr>
          <w:sz w:val="20"/>
          <w:szCs w:val="20"/>
          <w:color w:val="auto"/>
        </w:rPr>
      </w:pPr>
      <w:r>
        <w:rPr>
          <w:rFonts w:ascii="Arial" w:cs="Arial" w:eastAsia="Arial" w:hAnsi="Arial"/>
          <w:sz w:val="11"/>
          <w:szCs w:val="11"/>
          <w:color w:val="auto"/>
        </w:rPr>
        <w:t>Fund IV, L.P. is ultimately controlled by Cygnus Equity GP, Ltd. Cygnus Equity GP, Ltd. is managed by its board consisting of two individuals, including Mr. Jin who can independently make investment decisions on behalf of Cygnus Equity GP, Ltd. Immediately prior to the completion of this offering, all the 57,079,724 ordinary shares will be re-designated into Class A ordinary shares on a one-for-one basis. The registered address of Doyen Cygnus Education Fund, L.P., Cygnus Equity</w:t>
      </w:r>
    </w:p>
    <w:p>
      <w:pPr>
        <w:spacing w:after="0" w:line="1" w:lineRule="exact"/>
        <w:rPr>
          <w:sz w:val="20"/>
          <w:szCs w:val="20"/>
          <w:color w:val="auto"/>
        </w:rPr>
      </w:pPr>
    </w:p>
    <w:p>
      <w:pPr>
        <w:jc w:val="both"/>
        <w:ind w:left="1640" w:right="1398"/>
        <w:spacing w:after="0" w:line="234" w:lineRule="auto"/>
        <w:rPr>
          <w:sz w:val="20"/>
          <w:szCs w:val="20"/>
          <w:color w:val="auto"/>
        </w:rPr>
      </w:pPr>
      <w:r>
        <w:rPr>
          <w:rFonts w:ascii="Arial" w:cs="Arial" w:eastAsia="Arial" w:hAnsi="Arial"/>
          <w:sz w:val="11"/>
          <w:szCs w:val="11"/>
          <w:color w:val="auto"/>
        </w:rPr>
        <w:t>Sport I, L.P., Cygnus Equity Sport II, L.P., Cygnus Equity Fund III, L.P. and Cygnus Equity Fund IV, L.P. is 2</w:t>
      </w:r>
      <w:r>
        <w:rPr>
          <w:rFonts w:ascii="Arial" w:cs="Arial" w:eastAsia="Arial" w:hAnsi="Arial"/>
          <w:sz w:val="12"/>
          <w:szCs w:val="12"/>
          <w:color w:val="auto"/>
          <w:vertAlign w:val="superscript"/>
        </w:rPr>
        <w:t>nd</w:t>
      </w:r>
      <w:r>
        <w:rPr>
          <w:rFonts w:ascii="Arial" w:cs="Arial" w:eastAsia="Arial" w:hAnsi="Arial"/>
          <w:sz w:val="11"/>
          <w:szCs w:val="11"/>
          <w:color w:val="auto"/>
        </w:rPr>
        <w:t xml:space="preserve"> Floor, Strathvale House, 90 North Church Street, P.O. Box 1103, George Town, Grand Cayman KY1-1102, Cayman Islands.</w:t>
      </w:r>
    </w:p>
    <w:p>
      <w:pPr>
        <w:spacing w:after="0" w:line="8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of the date of this prospectus, none of our issued and outstanding ordinary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 For a description of issuances of our securities, see “Description of Share Capital — History of Securities Issuances.”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2" w:name="page253"/>
    <w:bookmarkEnd w:id="25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RELATED PARTY TRANSACTIONS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Employment Agreements and Indemnification Agreements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“Management — Employment Agreements and Indemnification Agreements.”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Private Placements</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“Description of Share Capital — History of Securities Issuances.”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Share Incentives</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“Management — Share Option Plans.”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Contractual Arrangements with the VIEs and their Shareholders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See “Corporate History and Structure.”</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Equity Transfer Agreements and the Disposition of Financial Product Referral Services</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November 2024, we and Zhejiang Dasouche Boxin Auto Sales Co., Ltd. (the “Acquirer”), a wholly owned subsidiary of Souche Holdings Ltd., entered into a series of agreements, pursuant to which we agree to transfer 100% of our equity interests in the PRC entities operating the financial product referral services to the Acquirer for an aggregate consideration of RMB180.3 million. The Disposition was closed in December 2024. For the complete text of the foregoing agreements, see the copies filed as exhibits to the registration statement filed with the SEC of which this prospectus forms a part.</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Other Related Party Transactions</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the ordinary course of business, from time to time, we carry out other transactions and enter into other arrangements with other related parties. None of these transactions or arrangements are considered to be material except for the following.</w:t>
      </w:r>
    </w:p>
    <w:p>
      <w:pPr>
        <w:spacing w:after="0" w:line="6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table below sets forth the major related parties and their relationship with us as of December 31, 2025.</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56"/>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related parties</w:t>
            </w:r>
          </w:p>
        </w:tc>
        <w:tc>
          <w:tcPr>
            <w:tcW w:w="60" w:type="dxa"/>
            <w:vAlign w:val="bottom"/>
          </w:tcPr>
          <w:p>
            <w:pPr>
              <w:spacing w:after="0"/>
              <w:rPr>
                <w:sz w:val="13"/>
                <w:szCs w:val="13"/>
                <w:color w:val="auto"/>
              </w:rPr>
            </w:pPr>
          </w:p>
        </w:tc>
        <w:tc>
          <w:tcPr>
            <w:tcW w:w="3120" w:type="dxa"/>
            <w:vAlign w:val="bottom"/>
            <w:tcBorders>
              <w:bottom w:val="single" w:sz="8" w:color="auto"/>
            </w:tcBorders>
          </w:tcPr>
          <w:p>
            <w:pPr>
              <w:ind w:left="740"/>
              <w:spacing w:after="0"/>
              <w:rPr>
                <w:sz w:val="20"/>
                <w:szCs w:val="20"/>
                <w:color w:val="auto"/>
              </w:rPr>
            </w:pPr>
            <w:r>
              <w:rPr>
                <w:rFonts w:ascii="Arial" w:cs="Arial" w:eastAsia="Arial" w:hAnsi="Arial"/>
                <w:sz w:val="11"/>
                <w:szCs w:val="11"/>
                <w:b w:val="1"/>
                <w:bCs w:val="1"/>
                <w:color w:val="auto"/>
              </w:rPr>
              <w:t>Relationship with the Company</w:t>
            </w:r>
          </w:p>
        </w:tc>
      </w:tr>
      <w:tr>
        <w:trPr>
          <w:trHeight w:val="137"/>
        </w:trPr>
        <w:tc>
          <w:tcPr>
            <w:tcW w:w="3040" w:type="dxa"/>
            <w:vAlign w:val="bottom"/>
          </w:tcPr>
          <w:p>
            <w:pPr>
              <w:spacing w:after="0" w:line="137" w:lineRule="exact"/>
              <w:rPr>
                <w:sz w:val="20"/>
                <w:szCs w:val="20"/>
                <w:color w:val="auto"/>
              </w:rPr>
            </w:pPr>
            <w:r>
              <w:rPr>
                <w:rFonts w:ascii="Arial" w:cs="Arial" w:eastAsia="Arial" w:hAnsi="Arial"/>
                <w:sz w:val="14"/>
                <w:szCs w:val="14"/>
                <w:color w:val="auto"/>
              </w:rPr>
              <w:t>Souche Holdings Ltd or entities controlled by</w:t>
            </w:r>
          </w:p>
        </w:tc>
        <w:tc>
          <w:tcPr>
            <w:tcW w:w="60" w:type="dxa"/>
            <w:vAlign w:val="bottom"/>
          </w:tcPr>
          <w:p>
            <w:pPr>
              <w:spacing w:after="0"/>
              <w:rPr>
                <w:sz w:val="11"/>
                <w:szCs w:val="11"/>
                <w:color w:val="auto"/>
              </w:rPr>
            </w:pPr>
          </w:p>
        </w:tc>
        <w:tc>
          <w:tcPr>
            <w:tcW w:w="3120" w:type="dxa"/>
            <w:vAlign w:val="bottom"/>
          </w:tcPr>
          <w:p>
            <w:pPr>
              <w:spacing w:after="0" w:line="137" w:lineRule="exact"/>
              <w:rPr>
                <w:sz w:val="20"/>
                <w:szCs w:val="20"/>
                <w:color w:val="auto"/>
              </w:rPr>
            </w:pPr>
            <w:r>
              <w:rPr>
                <w:rFonts w:ascii="Arial" w:cs="Arial" w:eastAsia="Arial" w:hAnsi="Arial"/>
                <w:sz w:val="14"/>
                <w:szCs w:val="14"/>
                <w:color w:val="auto"/>
              </w:rPr>
              <w:t>Predecessor</w:t>
            </w:r>
          </w:p>
        </w:tc>
      </w:tr>
      <w:tr>
        <w:trPr>
          <w:trHeight w:val="187"/>
        </w:trPr>
        <w:tc>
          <w:tcPr>
            <w:tcW w:w="3040" w:type="dxa"/>
            <w:vAlign w:val="bottom"/>
          </w:tcPr>
          <w:p>
            <w:pPr>
              <w:ind w:left="140"/>
              <w:spacing w:after="0"/>
              <w:rPr>
                <w:sz w:val="20"/>
                <w:szCs w:val="20"/>
                <w:color w:val="auto"/>
              </w:rPr>
            </w:pPr>
            <w:r>
              <w:rPr>
                <w:rFonts w:ascii="Arial" w:cs="Arial" w:eastAsia="Arial" w:hAnsi="Arial"/>
                <w:sz w:val="14"/>
                <w:szCs w:val="14"/>
                <w:color w:val="auto"/>
              </w:rPr>
              <w:t>Souche Holdings Ltd</w:t>
            </w:r>
          </w:p>
        </w:tc>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r>
    </w:tbl>
    <w:p>
      <w:pPr>
        <w:ind w:left="1560" w:right="1598" w:hanging="137"/>
        <w:spacing w:after="0" w:line="255" w:lineRule="auto"/>
        <w:rPr>
          <w:sz w:val="20"/>
          <w:szCs w:val="20"/>
          <w:color w:val="auto"/>
        </w:rPr>
      </w:pPr>
      <w:r>
        <w:rPr>
          <w:rFonts w:ascii="Arial" w:cs="Arial" w:eastAsia="Arial" w:hAnsi="Arial"/>
          <w:sz w:val="14"/>
          <w:szCs w:val="14"/>
          <w:color w:val="auto"/>
        </w:rPr>
        <w:t>Guotai Dasouche (Tianjin) Financial Leasing Co., Equity method investee of Souche Holdings Ltd Ltd. (“Guotai Dasouche”)</w:t>
      </w:r>
    </w:p>
    <w:p>
      <w:pPr>
        <w:sectPr>
          <w:pgSz w:w="11920" w:h="16838" w:orient="portrait"/>
          <w:cols w:equalWidth="0" w:num="1">
            <w:col w:w="9038"/>
          </w:cols>
          <w:pgMar w:left="1440" w:top="230" w:right="1440" w:bottom="1440" w:gutter="0" w:footer="0" w:header="0"/>
        </w:sectPr>
      </w:pPr>
    </w:p>
    <w:p>
      <w:pPr>
        <w:ind w:left="1420"/>
        <w:spacing w:after="0"/>
        <w:rPr>
          <w:sz w:val="20"/>
          <w:szCs w:val="20"/>
          <w:color w:val="auto"/>
        </w:rPr>
      </w:pPr>
      <w:r>
        <w:rPr>
          <w:rFonts w:ascii="Arial" w:cs="Arial" w:eastAsia="Arial" w:hAnsi="Arial"/>
          <w:sz w:val="13"/>
          <w:szCs w:val="13"/>
          <w:color w:val="auto"/>
        </w:rPr>
        <w:t>Guangzhou Changji Technology Co., Ltd.</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(“Guangzhou Changji”)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Equity method investee</w:t>
      </w:r>
    </w:p>
    <w:p>
      <w:pPr>
        <w:spacing w:after="0" w:line="237" w:lineRule="exact"/>
        <w:rPr>
          <w:sz w:val="20"/>
          <w:szCs w:val="20"/>
          <w:color w:val="auto"/>
        </w:rPr>
      </w:pPr>
    </w:p>
    <w:p>
      <w:pPr>
        <w:sectPr>
          <w:pgSz w:w="11920" w:h="16838" w:orient="portrait"/>
          <w:cols w:equalWidth="0" w:num="2">
            <w:col w:w="3940" w:space="580"/>
            <w:col w:w="4518"/>
          </w:cols>
          <w:pgMar w:left="1440" w:top="230" w:right="1440" w:bottom="1440" w:gutter="0" w:footer="0" w:header="0"/>
          <w:type w:val="continuous"/>
        </w:sectPr>
      </w:pPr>
    </w:p>
    <w:p>
      <w:pPr>
        <w:ind w:left="1420"/>
        <w:spacing w:after="0"/>
        <w:rPr>
          <w:sz w:val="20"/>
          <w:szCs w:val="20"/>
          <w:color w:val="auto"/>
        </w:rPr>
      </w:pPr>
      <w:r>
        <w:rPr>
          <w:rFonts w:ascii="Arial" w:cs="Arial" w:eastAsia="Arial" w:hAnsi="Arial"/>
          <w:sz w:val="12"/>
          <w:szCs w:val="12"/>
          <w:color w:val="auto"/>
        </w:rPr>
        <w:t>____________</w:t>
      </w:r>
    </w:p>
    <w:p>
      <w:pPr>
        <w:sectPr>
          <w:pgSz w:w="11920" w:h="16838" w:orient="portrait"/>
          <w:cols w:equalWidth="0" w:num="1">
            <w:col w:w="9038"/>
          </w:cols>
          <w:pgMar w:left="1440" w:top="230" w:right="1440" w:bottom="1440" w:gutter="0" w:footer="0" w:header="0"/>
          <w:type w:val="continuous"/>
        </w:sectPr>
      </w:pPr>
    </w:p>
    <w:p>
      <w:pPr>
        <w:spacing w:after="0" w:line="84" w:lineRule="exact"/>
        <w:rPr>
          <w:sz w:val="20"/>
          <w:szCs w:val="20"/>
          <w:color w:val="auto"/>
        </w:rPr>
      </w:pPr>
    </w:p>
    <w:p>
      <w:pPr>
        <w:jc w:val="both"/>
        <w:ind w:left="1640" w:right="1398" w:hanging="225"/>
        <w:spacing w:after="0" w:line="246" w:lineRule="auto"/>
        <w:tabs>
          <w:tab w:leader="none" w:pos="1637" w:val="left"/>
        </w:tabs>
        <w:numPr>
          <w:ilvl w:val="0"/>
          <w:numId w:val="125"/>
        </w:numPr>
        <w:rPr>
          <w:rFonts w:ascii="Arial" w:cs="Arial" w:eastAsia="Arial" w:hAnsi="Arial"/>
          <w:sz w:val="11"/>
          <w:szCs w:val="11"/>
          <w:color w:val="auto"/>
        </w:rPr>
      </w:pPr>
      <w:r>
        <w:rPr>
          <w:rFonts w:ascii="Arial" w:cs="Arial" w:eastAsia="Arial" w:hAnsi="Arial"/>
          <w:sz w:val="11"/>
          <w:szCs w:val="11"/>
          <w:color w:val="auto"/>
        </w:rPr>
        <w:t>Upon the completion of the Restructuring in June 2023, Guotai Dasouche was no longer a related party of the Group, hence the related party transactions with Guotai Dasouche for the year ended December 31, 2023 include only transactions that occurred prior to the Restructuring, and the transactions with Guotai Dasouche were no longer included in the related party transactions, and the balances due from/to Guotai Dasouche were no longer presented as amounts due from/to related parties.</w:t>
      </w:r>
    </w:p>
    <w:p>
      <w:pPr>
        <w:spacing w:after="0" w:line="10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253" w:name="page254"/>
    <w:bookmarkEnd w:id="25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07"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(2) We had the following transactions with major related parties for the years indicated:</w:t>
      </w:r>
    </w:p>
    <w:p>
      <w:pPr>
        <w:spacing w:after="0" w:line="195"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1"/>
                <w:szCs w:val="11"/>
                <w:b w:val="1"/>
                <w:bCs w:val="1"/>
                <w:color w:val="auto"/>
                <w:w w:val="99"/>
              </w:rPr>
              <w:t>For the Year Ended December 31,</w:t>
            </w:r>
          </w:p>
        </w:tc>
        <w:tc>
          <w:tcPr>
            <w:tcW w:w="620" w:type="dxa"/>
            <w:vAlign w:val="bottom"/>
            <w:tcBorders>
              <w:bottom w:val="single" w:sz="8" w:color="auto"/>
            </w:tcBorders>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8"/>
                <w:szCs w:val="18"/>
                <w:color w:val="auto"/>
              </w:rPr>
            </w:pPr>
          </w:p>
        </w:tc>
        <w:tc>
          <w:tcPr>
            <w:tcW w:w="840" w:type="dxa"/>
            <w:vAlign w:val="bottom"/>
            <w:gridSpan w:val="2"/>
          </w:tcPr>
          <w:p>
            <w:pPr>
              <w:jc w:val="right"/>
              <w:ind w:right="195"/>
              <w:spacing w:after="0"/>
              <w:rPr>
                <w:sz w:val="20"/>
                <w:szCs w:val="20"/>
                <w:color w:val="auto"/>
              </w:rPr>
            </w:pPr>
            <w:r>
              <w:rPr>
                <w:rFonts w:ascii="Arial" w:cs="Arial" w:eastAsia="Arial" w:hAnsi="Arial"/>
                <w:sz w:val="11"/>
                <w:szCs w:val="11"/>
                <w:b w:val="1"/>
                <w:bCs w:val="1"/>
                <w:color w:val="auto"/>
              </w:rPr>
              <w:t>2024</w:t>
            </w:r>
          </w:p>
        </w:tc>
        <w:tc>
          <w:tcPr>
            <w:tcW w:w="110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2025</w:t>
            </w:r>
          </w:p>
        </w:tc>
        <w:tc>
          <w:tcPr>
            <w:tcW w:w="6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US$</w:t>
            </w: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rPr>
              <w:t>(in thousands)</w:t>
            </w:r>
          </w:p>
        </w:tc>
        <w:tc>
          <w:tcPr>
            <w:tcW w:w="6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Transaction services provided to:</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9"/>
        </w:trPr>
        <w:tc>
          <w:tcPr>
            <w:tcW w:w="2920" w:type="dxa"/>
            <w:vAlign w:val="bottom"/>
            <w:gridSpan w:val="2"/>
          </w:tcPr>
          <w:p>
            <w:pPr>
              <w:spacing w:after="0"/>
              <w:rPr>
                <w:sz w:val="20"/>
                <w:szCs w:val="20"/>
                <w:color w:val="auto"/>
              </w:rPr>
            </w:pPr>
            <w:r>
              <w:rPr>
                <w:rFonts w:ascii="Arial" w:cs="Arial" w:eastAsia="Arial" w:hAnsi="Arial"/>
                <w:sz w:val="14"/>
                <w:szCs w:val="14"/>
                <w:color w:val="auto"/>
              </w:rPr>
              <w:t>Guotai Dasouche</w:t>
            </w:r>
          </w:p>
        </w:tc>
        <w:tc>
          <w:tcPr>
            <w:tcW w:w="640" w:type="dxa"/>
            <w:vAlign w:val="bottom"/>
          </w:tcPr>
          <w:p>
            <w:pPr>
              <w:jc w:val="right"/>
              <w:spacing w:after="0"/>
              <w:rPr>
                <w:sz w:val="20"/>
                <w:szCs w:val="20"/>
                <w:color w:val="auto"/>
              </w:rPr>
            </w:pPr>
            <w:r>
              <w:rPr>
                <w:rFonts w:ascii="Arial" w:cs="Arial" w:eastAsia="Arial" w:hAnsi="Arial"/>
                <w:sz w:val="14"/>
                <w:szCs w:val="14"/>
                <w:color w:val="auto"/>
              </w:rPr>
              <w:t>70,390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Souche Holdings Ltd</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36,717</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20,678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61,489</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w:t>
            </w:r>
          </w:p>
        </w:tc>
      </w:tr>
      <w:tr>
        <w:trPr>
          <w:trHeight w:val="208"/>
        </w:trPr>
        <w:tc>
          <w:tcPr>
            <w:tcW w:w="2920" w:type="dxa"/>
            <w:vAlign w:val="bottom"/>
            <w:gridSpan w:val="2"/>
          </w:tcPr>
          <w:p>
            <w:pPr>
              <w:spacing w:after="0"/>
              <w:rPr>
                <w:sz w:val="20"/>
                <w:szCs w:val="20"/>
                <w:color w:val="auto"/>
              </w:rPr>
            </w:pPr>
            <w:r>
              <w:rPr>
                <w:rFonts w:ascii="Arial" w:cs="Arial" w:eastAsia="Arial" w:hAnsi="Arial"/>
                <w:sz w:val="14"/>
                <w:szCs w:val="14"/>
                <w:color w:val="auto"/>
              </w:rPr>
              <w:t>Guangzhou Changji</w:t>
            </w:r>
            <w:r>
              <w:rPr>
                <w:rFonts w:ascii="Arial" w:cs="Arial" w:eastAsia="Arial" w:hAnsi="Arial"/>
                <w:sz w:val="16"/>
                <w:szCs w:val="16"/>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(1,405)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649</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699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8"/>
        </w:trPr>
        <w:tc>
          <w:tcPr>
            <w:tcW w:w="20" w:type="dxa"/>
            <w:vAlign w:val="bottom"/>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105,702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8,893</w:t>
            </w: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640" w:type="dxa"/>
            <w:vAlign w:val="bottom"/>
            <w:tcBorders>
              <w:bottom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bottom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tcBorders>
              <w:bottom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CCEEFF"/>
          </w:tcPr>
          <w:p>
            <w:pPr>
              <w:spacing w:after="0" w:line="20" w:lineRule="exact"/>
              <w:rPr>
                <w:sz w:val="1"/>
                <w:szCs w:val="1"/>
                <w:color w:val="auto"/>
              </w:rPr>
            </w:pPr>
          </w:p>
        </w:tc>
        <w:tc>
          <w:tcPr>
            <w:tcW w:w="620" w:type="dxa"/>
            <w:vAlign w:val="bottom"/>
            <w:tcBorders>
              <w:bottom w:val="single" w:sz="8" w:color="auto"/>
            </w:tcBorders>
            <w:shd w:val="clear" w:color="auto" w:fill="CCEEFF"/>
          </w:tcPr>
          <w:p>
            <w:pPr>
              <w:spacing w:after="0" w:line="20" w:lineRule="exact"/>
              <w:rPr>
                <w:sz w:val="1"/>
                <w:szCs w:val="1"/>
                <w:color w:val="auto"/>
              </w:rPr>
            </w:pPr>
          </w:p>
        </w:tc>
      </w:tr>
      <w:tr>
        <w:trPr>
          <w:trHeight w:val="183"/>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Services received from:</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Guotai Dasouche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9"/>
        </w:trPr>
        <w:tc>
          <w:tcPr>
            <w:tcW w:w="2920" w:type="dxa"/>
            <w:vAlign w:val="bottom"/>
            <w:gridSpan w:val="2"/>
          </w:tcPr>
          <w:p>
            <w:pPr>
              <w:spacing w:after="0"/>
              <w:rPr>
                <w:sz w:val="20"/>
                <w:szCs w:val="20"/>
                <w:color w:val="auto"/>
              </w:rPr>
            </w:pPr>
            <w:r>
              <w:rPr>
                <w:rFonts w:ascii="Arial" w:cs="Arial" w:eastAsia="Arial" w:hAnsi="Arial"/>
                <w:sz w:val="14"/>
                <w:szCs w:val="14"/>
                <w:color w:val="auto"/>
              </w:rPr>
              <w:t>Souche Holdings Ltd</w:t>
            </w:r>
          </w:p>
        </w:tc>
        <w:tc>
          <w:tcPr>
            <w:tcW w:w="640" w:type="dxa"/>
            <w:vAlign w:val="bottom"/>
          </w:tcPr>
          <w:p>
            <w:pPr>
              <w:jc w:val="right"/>
              <w:spacing w:after="0"/>
              <w:rPr>
                <w:sz w:val="20"/>
                <w:szCs w:val="20"/>
                <w:color w:val="auto"/>
              </w:rPr>
            </w:pPr>
            <w:r>
              <w:rPr>
                <w:rFonts w:ascii="Arial" w:cs="Arial" w:eastAsia="Arial" w:hAnsi="Arial"/>
                <w:sz w:val="14"/>
                <w:szCs w:val="14"/>
                <w:color w:val="auto"/>
              </w:rPr>
              <w:t>93,604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112,593</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51,984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7,434</w:t>
            </w:r>
          </w:p>
        </w:tc>
      </w:tr>
      <w:tr>
        <w:trPr>
          <w:trHeight w:val="227"/>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Guangzhou Changji</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2920" w:type="dxa"/>
            <w:vAlign w:val="bottom"/>
            <w:gridSpan w:val="2"/>
          </w:tcPr>
          <w:p>
            <w:pPr>
              <w:spacing w:after="0"/>
              <w:rPr>
                <w:sz w:val="20"/>
                <w:szCs w:val="20"/>
                <w:color w:val="auto"/>
              </w:rPr>
            </w:pPr>
            <w:r>
              <w:rPr>
                <w:rFonts w:ascii="Arial" w:cs="Arial" w:eastAsia="Arial" w:hAnsi="Arial"/>
                <w:sz w:val="14"/>
                <w:szCs w:val="14"/>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113,459</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51,984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7,434</w:t>
            </w:r>
          </w:p>
        </w:tc>
      </w:tr>
      <w:tr>
        <w:trPr>
          <w:trHeight w:val="92"/>
        </w:trPr>
        <w:tc>
          <w:tcPr>
            <w:tcW w:w="20" w:type="dxa"/>
            <w:vAlign w:val="bottom"/>
          </w:tcPr>
          <w:p>
            <w:pPr>
              <w:spacing w:after="0"/>
              <w:rPr>
                <w:sz w:val="7"/>
                <w:szCs w:val="7"/>
                <w:color w:val="auto"/>
              </w:rPr>
            </w:pPr>
          </w:p>
        </w:tc>
        <w:tc>
          <w:tcPr>
            <w:tcW w:w="290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color w:val="auto"/>
              </w:rPr>
              <w:t>Gain/(loss) from disposal of subsidiaries and</w:t>
            </w: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r>
      <w:tr>
        <w:trPr>
          <w:trHeight w:val="201"/>
        </w:trPr>
        <w:tc>
          <w:tcPr>
            <w:tcW w:w="20" w:type="dxa"/>
            <w:vAlign w:val="bottom"/>
          </w:tcPr>
          <w:p>
            <w:pPr>
              <w:spacing w:after="0"/>
              <w:rPr>
                <w:sz w:val="17"/>
                <w:szCs w:val="17"/>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investments to Predecessor</w:t>
            </w:r>
            <w:r>
              <w:rPr>
                <w:rFonts w:ascii="Arial" w:cs="Arial" w:eastAsia="Arial" w:hAnsi="Arial"/>
                <w:sz w:val="16"/>
                <w:szCs w:val="16"/>
                <w:color w:val="auto"/>
                <w:vertAlign w:val="superscript"/>
              </w:rPr>
              <w:t>(2)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29,802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1,995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27"/>
        </w:trPr>
        <w:tc>
          <w:tcPr>
            <w:tcW w:w="20" w:type="dxa"/>
            <w:vAlign w:val="bottom"/>
          </w:tcPr>
          <w:p>
            <w:pPr>
              <w:spacing w:after="0"/>
              <w:rPr>
                <w:sz w:val="11"/>
                <w:szCs w:val="11"/>
                <w:color w:val="auto"/>
              </w:rPr>
            </w:pPr>
          </w:p>
        </w:tc>
        <w:tc>
          <w:tcPr>
            <w:tcW w:w="2900" w:type="dxa"/>
            <w:vAlign w:val="bottom"/>
            <w:tcBorders>
              <w:top w:val="single" w:sz="8" w:color="CCEEFF"/>
            </w:tcBorders>
          </w:tcPr>
          <w:p>
            <w:pPr>
              <w:spacing w:after="0" w:line="127" w:lineRule="exact"/>
              <w:rPr>
                <w:sz w:val="20"/>
                <w:szCs w:val="20"/>
                <w:color w:val="auto"/>
              </w:rPr>
            </w:pPr>
            <w:r>
              <w:rPr>
                <w:rFonts w:ascii="Arial" w:cs="Arial" w:eastAsia="Arial" w:hAnsi="Arial"/>
                <w:sz w:val="14"/>
                <w:szCs w:val="14"/>
                <w:color w:val="auto"/>
              </w:rPr>
              <w:t>Contribution from Souche Holdings Ltd</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through waiver of debt</w:t>
            </w:r>
          </w:p>
        </w:tc>
        <w:tc>
          <w:tcPr>
            <w:tcW w:w="640" w:type="dxa"/>
            <w:vAlign w:val="bottom"/>
          </w:tcPr>
          <w:p>
            <w:pPr>
              <w:jc w:val="right"/>
              <w:spacing w:after="0"/>
              <w:rPr>
                <w:sz w:val="20"/>
                <w:szCs w:val="20"/>
                <w:color w:val="auto"/>
              </w:rPr>
            </w:pPr>
            <w:r>
              <w:rPr>
                <w:rFonts w:ascii="Arial" w:cs="Arial" w:eastAsia="Arial" w:hAnsi="Arial"/>
                <w:sz w:val="14"/>
                <w:szCs w:val="14"/>
                <w:color w:val="auto"/>
              </w:rPr>
              <w:t>64,113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Notes: (1)  The negative amount represents negative revenue resulting from excess rebates paid over revenue earned.</w:t>
      </w:r>
    </w:p>
    <w:p>
      <w:pPr>
        <w:spacing w:after="0" w:line="93"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We had the following related party balances with the major related parties for the years indicated:</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740" w:type="dxa"/>
            <w:vAlign w:val="bottom"/>
          </w:tcPr>
          <w:p>
            <w:pPr>
              <w:spacing w:after="0"/>
              <w:rPr>
                <w:sz w:val="13"/>
                <w:szCs w:val="13"/>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b w:val="1"/>
                <w:bCs w:val="1"/>
                <w:color w:val="auto"/>
              </w:rPr>
              <w:t>As of December 31,</w:t>
            </w:r>
          </w:p>
        </w:tc>
        <w:tc>
          <w:tcPr>
            <w:tcW w:w="620" w:type="dxa"/>
            <w:vAlign w:val="bottom"/>
            <w:tcBorders>
              <w:bottom w:val="single" w:sz="8" w:color="auto"/>
            </w:tcBorders>
          </w:tcPr>
          <w:p>
            <w:pPr>
              <w:spacing w:after="0"/>
              <w:rPr>
                <w:sz w:val="13"/>
                <w:szCs w:val="13"/>
                <w:color w:val="auto"/>
              </w:rPr>
            </w:pPr>
          </w:p>
        </w:tc>
      </w:tr>
      <w:tr>
        <w:trPr>
          <w:trHeight w:val="208"/>
        </w:trPr>
        <w:tc>
          <w:tcPr>
            <w:tcW w:w="3740" w:type="dxa"/>
            <w:vAlign w:val="bottom"/>
          </w:tcPr>
          <w:p>
            <w:pPr>
              <w:spacing w:after="0"/>
              <w:rPr>
                <w:sz w:val="18"/>
                <w:szCs w:val="18"/>
                <w:color w:val="auto"/>
              </w:rPr>
            </w:pPr>
          </w:p>
        </w:tc>
        <w:tc>
          <w:tcPr>
            <w:tcW w:w="760" w:type="dxa"/>
            <w:vAlign w:val="bottom"/>
          </w:tcPr>
          <w:p>
            <w:pPr>
              <w:jc w:val="right"/>
              <w:ind w:right="196"/>
              <w:spacing w:after="0"/>
              <w:rPr>
                <w:sz w:val="20"/>
                <w:szCs w:val="20"/>
                <w:color w:val="auto"/>
              </w:rPr>
            </w:pPr>
            <w:r>
              <w:rPr>
                <w:rFonts w:ascii="Arial" w:cs="Arial" w:eastAsia="Arial" w:hAnsi="Arial"/>
                <w:sz w:val="11"/>
                <w:szCs w:val="11"/>
                <w:b w:val="1"/>
                <w:bCs w:val="1"/>
                <w:color w:val="auto"/>
              </w:rPr>
              <w:t>2024</w:t>
            </w:r>
          </w:p>
        </w:tc>
        <w:tc>
          <w:tcPr>
            <w:tcW w:w="110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2025</w:t>
            </w:r>
          </w:p>
        </w:tc>
        <w:tc>
          <w:tcPr>
            <w:tcW w:w="620" w:type="dxa"/>
            <w:vAlign w:val="bottom"/>
          </w:tcPr>
          <w:p>
            <w:pPr>
              <w:spacing w:after="0"/>
              <w:rPr>
                <w:sz w:val="18"/>
                <w:szCs w:val="18"/>
                <w:color w:val="auto"/>
              </w:rPr>
            </w:pPr>
          </w:p>
        </w:tc>
      </w:tr>
      <w:tr>
        <w:trPr>
          <w:trHeight w:val="198"/>
        </w:trPr>
        <w:tc>
          <w:tcPr>
            <w:tcW w:w="3740" w:type="dxa"/>
            <w:vAlign w:val="bottom"/>
          </w:tcPr>
          <w:p>
            <w:pPr>
              <w:spacing w:after="0"/>
              <w:rPr>
                <w:sz w:val="17"/>
                <w:szCs w:val="17"/>
                <w:color w:val="auto"/>
              </w:rPr>
            </w:pPr>
          </w:p>
        </w:tc>
        <w:tc>
          <w:tcPr>
            <w:tcW w:w="760" w:type="dxa"/>
            <w:vAlign w:val="bottom"/>
            <w:tcBorders>
              <w:top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RMB</w:t>
            </w:r>
          </w:p>
        </w:tc>
        <w:tc>
          <w:tcPr>
            <w:tcW w:w="620" w:type="dxa"/>
            <w:vAlign w:val="bottom"/>
            <w:tcBorders>
              <w:top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US$</w:t>
            </w:r>
          </w:p>
        </w:tc>
      </w:tr>
      <w:tr>
        <w:trPr>
          <w:trHeight w:val="214"/>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due from related parties, current:</w:t>
            </w: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8"/>
        </w:trPr>
        <w:tc>
          <w:tcPr>
            <w:tcW w:w="3740" w:type="dxa"/>
            <w:vAlign w:val="bottom"/>
          </w:tcPr>
          <w:p>
            <w:pPr>
              <w:spacing w:after="0"/>
              <w:rPr>
                <w:sz w:val="20"/>
                <w:szCs w:val="20"/>
                <w:color w:val="auto"/>
              </w:rPr>
            </w:pPr>
            <w:r>
              <w:rPr>
                <w:rFonts w:ascii="Arial" w:cs="Arial" w:eastAsia="Arial" w:hAnsi="Arial"/>
                <w:sz w:val="14"/>
                <w:szCs w:val="14"/>
                <w:color w:val="auto"/>
              </w:rPr>
              <w:t>Souche Holdings Ltd</w:t>
            </w:r>
            <w:r>
              <w:rPr>
                <w:rFonts w:ascii="Arial" w:cs="Arial" w:eastAsia="Arial" w:hAnsi="Arial"/>
                <w:sz w:val="16"/>
                <w:szCs w:val="16"/>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44,367</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84,618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12,100</w:t>
            </w: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28"/>
        </w:trPr>
        <w:tc>
          <w:tcPr>
            <w:tcW w:w="3740" w:type="dxa"/>
            <w:vAlign w:val="bottom"/>
          </w:tcPr>
          <w:p>
            <w:pPr>
              <w:spacing w:after="0"/>
              <w:rPr>
                <w:sz w:val="20"/>
                <w:szCs w:val="20"/>
                <w:color w:val="auto"/>
              </w:rPr>
            </w:pPr>
            <w:r>
              <w:rPr>
                <w:rFonts w:ascii="Arial" w:cs="Arial" w:eastAsia="Arial" w:hAnsi="Arial"/>
                <w:sz w:val="14"/>
                <w:szCs w:val="14"/>
                <w:color w:val="auto"/>
              </w:rPr>
              <w:t>Total</w:t>
            </w:r>
          </w:p>
        </w:tc>
        <w:tc>
          <w:tcPr>
            <w:tcW w:w="760" w:type="dxa"/>
            <w:vAlign w:val="bottom"/>
          </w:tcPr>
          <w:p>
            <w:pPr>
              <w:jc w:val="right"/>
              <w:spacing w:after="0"/>
              <w:rPr>
                <w:sz w:val="20"/>
                <w:szCs w:val="20"/>
                <w:color w:val="auto"/>
              </w:rPr>
            </w:pPr>
            <w:r>
              <w:rPr>
                <w:rFonts w:ascii="Arial" w:cs="Arial" w:eastAsia="Arial" w:hAnsi="Arial"/>
                <w:sz w:val="14"/>
                <w:szCs w:val="14"/>
                <w:color w:val="auto"/>
              </w:rPr>
              <w:t>45,208</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84,626</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12,101</w:t>
            </w:r>
          </w:p>
        </w:tc>
      </w:tr>
      <w:tr>
        <w:trPr>
          <w:trHeight w:val="18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Amounts due from related parties, non-current:</w:t>
            </w: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r>
      <w:tr>
        <w:trPr>
          <w:trHeight w:val="208"/>
        </w:trPr>
        <w:tc>
          <w:tcPr>
            <w:tcW w:w="3740" w:type="dxa"/>
            <w:vAlign w:val="bottom"/>
          </w:tcPr>
          <w:p>
            <w:pPr>
              <w:spacing w:after="0"/>
              <w:rPr>
                <w:sz w:val="20"/>
                <w:szCs w:val="20"/>
                <w:color w:val="auto"/>
              </w:rPr>
            </w:pPr>
            <w:r>
              <w:rPr>
                <w:rFonts w:ascii="Arial" w:cs="Arial" w:eastAsia="Arial" w:hAnsi="Arial"/>
                <w:sz w:val="14"/>
                <w:szCs w:val="14"/>
                <w:color w:val="auto"/>
              </w:rPr>
              <w:t>Souche Holdings Ltd</w:t>
            </w:r>
            <w:r>
              <w:rPr>
                <w:rFonts w:ascii="Arial" w:cs="Arial" w:eastAsia="Arial" w:hAnsi="Arial"/>
                <w:sz w:val="16"/>
                <w:szCs w:val="16"/>
                <w:color w:val="auto"/>
                <w:vertAlign w:val="superscript"/>
              </w:rPr>
              <w:t>(3)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211,519</w:t>
            </w:r>
          </w:p>
        </w:tc>
        <w:tc>
          <w:tcPr>
            <w:tcW w:w="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132,716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18,978</w:t>
            </w:r>
          </w:p>
        </w:tc>
      </w:tr>
      <w:tr>
        <w:trPr>
          <w:trHeight w:val="22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211,519</w:t>
            </w:r>
          </w:p>
        </w:tc>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18,978</w:t>
            </w: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2020" w:right="1398" w:hanging="608"/>
        <w:spacing w:after="0" w:line="250" w:lineRule="auto"/>
        <w:rPr>
          <w:sz w:val="20"/>
          <w:szCs w:val="20"/>
          <w:color w:val="auto"/>
        </w:rPr>
      </w:pPr>
      <w:r>
        <w:rPr>
          <w:rFonts w:ascii="Arial" w:cs="Arial" w:eastAsia="Arial" w:hAnsi="Arial"/>
          <w:sz w:val="11"/>
          <w:szCs w:val="11"/>
          <w:color w:val="auto"/>
        </w:rPr>
        <w:t>Notes: (1) The balances mainly represent amounts due from Souche Holdings Ltd for transaction services, such as delivery services, used car inspection and certification services and other management and administrative support services.</w:t>
      </w:r>
    </w:p>
    <w:p>
      <w:pPr>
        <w:spacing w:after="0" w:line="124" w:lineRule="exact"/>
        <w:rPr>
          <w:sz w:val="20"/>
          <w:szCs w:val="20"/>
          <w:color w:val="auto"/>
        </w:rPr>
      </w:pPr>
    </w:p>
    <w:p>
      <w:pPr>
        <w:jc w:val="both"/>
        <w:ind w:left="2020" w:right="1398" w:hanging="245"/>
        <w:spacing w:after="0" w:line="243" w:lineRule="auto"/>
        <w:tabs>
          <w:tab w:leader="none" w:pos="1989" w:val="left"/>
        </w:tabs>
        <w:numPr>
          <w:ilvl w:val="0"/>
          <w:numId w:val="126"/>
        </w:numPr>
        <w:rPr>
          <w:rFonts w:ascii="Arial" w:cs="Arial" w:eastAsia="Arial" w:hAnsi="Arial"/>
          <w:sz w:val="11"/>
          <w:szCs w:val="11"/>
          <w:color w:val="auto"/>
        </w:rPr>
      </w:pPr>
      <w:r>
        <w:rPr>
          <w:rFonts w:ascii="Arial" w:cs="Arial" w:eastAsia="Arial" w:hAnsi="Arial"/>
          <w:sz w:val="11"/>
          <w:szCs w:val="11"/>
          <w:color w:val="auto"/>
        </w:rPr>
        <w:t>The balances represent amounts arising from non-trade interest-free loans lent to Souche Holdings Ltd., and included the consideration receivable from the Disposition of RMB180,300 thousands and RMB103,473 thousands as of December 31, 2024 and 2025, respectively.</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740" w:type="dxa"/>
            <w:vAlign w:val="bottom"/>
          </w:tcPr>
          <w:p>
            <w:pPr>
              <w:spacing w:after="0"/>
              <w:rPr>
                <w:sz w:val="13"/>
                <w:szCs w:val="13"/>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b w:val="1"/>
                <w:bCs w:val="1"/>
                <w:color w:val="auto"/>
              </w:rPr>
              <w:t>As of December 31,</w:t>
            </w:r>
          </w:p>
        </w:tc>
        <w:tc>
          <w:tcPr>
            <w:tcW w:w="620" w:type="dxa"/>
            <w:vAlign w:val="bottom"/>
            <w:tcBorders>
              <w:bottom w:val="single" w:sz="8" w:color="auto"/>
            </w:tcBorders>
          </w:tcPr>
          <w:p>
            <w:pPr>
              <w:spacing w:after="0"/>
              <w:rPr>
                <w:sz w:val="13"/>
                <w:szCs w:val="13"/>
                <w:color w:val="auto"/>
              </w:rPr>
            </w:pPr>
          </w:p>
        </w:tc>
      </w:tr>
      <w:tr>
        <w:trPr>
          <w:trHeight w:val="198"/>
        </w:trPr>
        <w:tc>
          <w:tcPr>
            <w:tcW w:w="3740" w:type="dxa"/>
            <w:vAlign w:val="bottom"/>
          </w:tcPr>
          <w:p>
            <w:pPr>
              <w:spacing w:after="0"/>
              <w:rPr>
                <w:sz w:val="17"/>
                <w:szCs w:val="17"/>
                <w:color w:val="auto"/>
              </w:rPr>
            </w:pPr>
          </w:p>
        </w:tc>
        <w:tc>
          <w:tcPr>
            <w:tcW w:w="760" w:type="dxa"/>
            <w:vAlign w:val="bottom"/>
          </w:tcPr>
          <w:p>
            <w:pPr>
              <w:jc w:val="right"/>
              <w:ind w:right="196"/>
              <w:spacing w:after="0"/>
              <w:rPr>
                <w:sz w:val="20"/>
                <w:szCs w:val="20"/>
                <w:color w:val="auto"/>
              </w:rPr>
            </w:pPr>
            <w:r>
              <w:rPr>
                <w:rFonts w:ascii="Arial" w:cs="Arial" w:eastAsia="Arial" w:hAnsi="Arial"/>
                <w:sz w:val="11"/>
                <w:szCs w:val="11"/>
                <w:b w:val="1"/>
                <w:bCs w:val="1"/>
                <w:color w:val="auto"/>
              </w:rPr>
              <w:t>2024</w:t>
            </w:r>
          </w:p>
        </w:tc>
        <w:tc>
          <w:tcPr>
            <w:tcW w:w="110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2025</w:t>
            </w:r>
          </w:p>
        </w:tc>
        <w:tc>
          <w:tcPr>
            <w:tcW w:w="620" w:type="dxa"/>
            <w:vAlign w:val="bottom"/>
          </w:tcPr>
          <w:p>
            <w:pPr>
              <w:spacing w:after="0"/>
              <w:rPr>
                <w:sz w:val="17"/>
                <w:szCs w:val="17"/>
                <w:color w:val="auto"/>
              </w:rPr>
            </w:pPr>
          </w:p>
        </w:tc>
      </w:tr>
      <w:tr>
        <w:trPr>
          <w:trHeight w:val="208"/>
        </w:trPr>
        <w:tc>
          <w:tcPr>
            <w:tcW w:w="3740" w:type="dxa"/>
            <w:vAlign w:val="bottom"/>
          </w:tcPr>
          <w:p>
            <w:pPr>
              <w:spacing w:after="0"/>
              <w:rPr>
                <w:sz w:val="18"/>
                <w:szCs w:val="18"/>
                <w:color w:val="auto"/>
              </w:rPr>
            </w:pPr>
          </w:p>
        </w:tc>
        <w:tc>
          <w:tcPr>
            <w:tcW w:w="760" w:type="dxa"/>
            <w:vAlign w:val="bottom"/>
            <w:tcBorders>
              <w:top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RMB</w:t>
            </w:r>
          </w:p>
        </w:tc>
        <w:tc>
          <w:tcPr>
            <w:tcW w:w="620" w:type="dxa"/>
            <w:vAlign w:val="bottom"/>
            <w:tcBorders>
              <w:top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US$</w:t>
            </w:r>
          </w:p>
        </w:tc>
      </w:tr>
      <w:tr>
        <w:trPr>
          <w:trHeight w:val="214"/>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Amounts due to related parties, current:</w:t>
            </w: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8"/>
        </w:trPr>
        <w:tc>
          <w:tcPr>
            <w:tcW w:w="3740" w:type="dxa"/>
            <w:vAlign w:val="bottom"/>
          </w:tcPr>
          <w:p>
            <w:pPr>
              <w:spacing w:after="0"/>
              <w:rPr>
                <w:sz w:val="20"/>
                <w:szCs w:val="20"/>
                <w:color w:val="auto"/>
              </w:rPr>
            </w:pPr>
            <w:r>
              <w:rPr>
                <w:rFonts w:ascii="Arial" w:cs="Arial" w:eastAsia="Arial" w:hAnsi="Arial"/>
                <w:sz w:val="14"/>
                <w:szCs w:val="14"/>
                <w:color w:val="auto"/>
              </w:rPr>
              <w:t>Souche Holdings Ltd</w:t>
            </w:r>
            <w:r>
              <w:rPr>
                <w:rFonts w:ascii="Arial" w:cs="Arial" w:eastAsia="Arial" w:hAnsi="Arial"/>
                <w:sz w:val="16"/>
                <w:szCs w:val="16"/>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1,752</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0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1"/>
        </w:trPr>
        <w:tc>
          <w:tcPr>
            <w:tcW w:w="3740" w:type="dxa"/>
            <w:vAlign w:val="bottom"/>
          </w:tcPr>
          <w:p>
            <w:pPr>
              <w:spacing w:after="0"/>
              <w:rPr>
                <w:sz w:val="20"/>
                <w:szCs w:val="20"/>
                <w:color w:val="auto"/>
              </w:rPr>
            </w:pPr>
            <w:r>
              <w:rPr>
                <w:rFonts w:ascii="Arial" w:cs="Arial" w:eastAsia="Arial" w:hAnsi="Arial"/>
                <w:sz w:val="14"/>
                <w:szCs w:val="14"/>
                <w:color w:val="auto"/>
              </w:rPr>
              <w:t>Total</w:t>
            </w:r>
          </w:p>
        </w:tc>
        <w:tc>
          <w:tcPr>
            <w:tcW w:w="760" w:type="dxa"/>
            <w:vAlign w:val="bottom"/>
          </w:tcPr>
          <w:p>
            <w:pPr>
              <w:jc w:val="right"/>
              <w:spacing w:after="0"/>
              <w:rPr>
                <w:sz w:val="20"/>
                <w:szCs w:val="20"/>
                <w:color w:val="auto"/>
              </w:rPr>
            </w:pPr>
            <w:r>
              <w:rPr>
                <w:rFonts w:ascii="Arial" w:cs="Arial" w:eastAsia="Arial" w:hAnsi="Arial"/>
                <w:sz w:val="14"/>
                <w:szCs w:val="14"/>
                <w:color w:val="auto"/>
              </w:rPr>
              <w:t>3,433</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due to related parties, non-current:</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18"/>
        </w:trPr>
        <w:tc>
          <w:tcPr>
            <w:tcW w:w="3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Souche Holdings Ltd</w:t>
            </w:r>
            <w:r>
              <w:rPr>
                <w:rFonts w:ascii="Arial" w:cs="Arial" w:eastAsia="Arial" w:hAnsi="Arial"/>
                <w:sz w:val="16"/>
                <w:szCs w:val="16"/>
                <w:color w:val="auto"/>
                <w:vertAlign w:val="superscript"/>
              </w:rPr>
              <w:t>(1)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279,536</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282,998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40,468</w:t>
            </w:r>
          </w:p>
        </w:tc>
      </w:tr>
      <w:tr>
        <w:trPr>
          <w:trHeight w:val="188"/>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279,536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282,998</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Notes: (1)  The balances represent amounts arising from non-trade interest-free loans provided by Souche Holdings Ltd.</w:t>
      </w:r>
    </w:p>
    <w:p>
      <w:pPr>
        <w:spacing w:after="0" w:line="13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4" w:name="page255"/>
    <w:bookmarkEnd w:id="25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DESCRIPTION OF SHARE CAPITAL</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are an exempted company with limited liability incorporated in the Cayman Islands, and our affairs are governed by our memorandum and articles of association, as amended and restated from time to time, and Companies Act (As Revised) of the Cayman Islands, which we refer to as the “Companies Act” below and the common law of the Cayman Islands.</w:t>
      </w:r>
    </w:p>
    <w:p>
      <w:pPr>
        <w:spacing w:after="0" w:line="7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As of the date hereof, our authorized share capital consists of US$200,000 divided into</w:t>
      </w:r>
    </w:p>
    <w:p>
      <w:pPr>
        <w:spacing w:after="0" w:line="13" w:lineRule="exact"/>
        <w:rPr>
          <w:sz w:val="20"/>
          <w:szCs w:val="20"/>
          <w:color w:val="auto"/>
        </w:rPr>
      </w:pPr>
    </w:p>
    <w:p>
      <w:pPr>
        <w:jc w:val="both"/>
        <w:ind w:left="1420" w:right="1398" w:hanging="5"/>
        <w:spacing w:after="0" w:line="249" w:lineRule="auto"/>
        <w:tabs>
          <w:tab w:leader="none" w:pos="1619" w:val="left"/>
        </w:tabs>
        <w:numPr>
          <w:ilvl w:val="0"/>
          <w:numId w:val="127"/>
        </w:numPr>
        <w:rPr>
          <w:rFonts w:ascii="Arial" w:cs="Arial" w:eastAsia="Arial" w:hAnsi="Arial"/>
          <w:sz w:val="13"/>
          <w:szCs w:val="13"/>
          <w:color w:val="auto"/>
        </w:rPr>
      </w:pPr>
      <w:r>
        <w:rPr>
          <w:rFonts w:ascii="Arial" w:cs="Arial" w:eastAsia="Arial" w:hAnsi="Arial"/>
          <w:sz w:val="13"/>
          <w:szCs w:val="13"/>
          <w:color w:val="auto"/>
        </w:rPr>
        <w:t>1,192,139,384 ordinary shares of a par value of US$0.0001 each; (ii) 6,250,000 Series A-1 preferred shares of a par value of US$0.0001 each; (iii) 46,135,648 Series A-2 preferred shares of a par value of US$0.0001 each; (iv) 11,185,680 Series B preferred shares of a par value of US$0.0001 each; (v) 88,188,400 Series D preferred shares of a par value of US$0.0001 each; (vi) 149,920,280 Series D-1 preferred shares of a par value of US$0.0001 each; (vii) 108,466,752 Series E-1 preferred shares of a par value of US$0.0001 each; (viii) 166,052,206 Series E-2 preferred shares of a par value of US$0.0001 each; (ix) 43,099,293 Series E-3 preferred shares of a par value of US$0.0001 each; and (x) 164,140,119 Series F preferred shares of a par value of US$0.0001 each; and</w:t>
      </w:r>
    </w:p>
    <w:p>
      <w:pPr>
        <w:spacing w:after="0" w:line="4" w:lineRule="exact"/>
        <w:rPr>
          <w:rFonts w:ascii="Arial" w:cs="Arial" w:eastAsia="Arial" w:hAnsi="Arial"/>
          <w:sz w:val="13"/>
          <w:szCs w:val="13"/>
          <w:color w:val="auto"/>
        </w:rPr>
      </w:pPr>
    </w:p>
    <w:p>
      <w:pPr>
        <w:jc w:val="both"/>
        <w:ind w:left="1420" w:right="1398" w:hanging="5"/>
        <w:spacing w:after="0" w:line="233" w:lineRule="auto"/>
        <w:tabs>
          <w:tab w:leader="none" w:pos="166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24,422,238 Series G preferred shares of a par value of US$0.0001 each. As of the date of this prospectus, there are 136,159,402 ordinary shares, 6,250,000 Series A-1 preferred shares, 46,135,648 Series A-2 preferred shares, 11,185,680 Series B preferred shares, 88,188,400 Series D preferred shares, 149,920,280 Series D-1 preferred shares, 108,466,752 Series E-1 preferred share, 166,052,206 Series E-2 preferred shares, 43,099,293 Series E-3 preferred shares, 160,532,881 Series F preferred shares and 24,422,238 Series G preferred shares issued and outstanding. All of our issued and outstanding ordinary shares and preferred shares are fully paid. Immediately prior to the completion of this offering, except for our Series E-3 and Series F preferred shares, all of the issued and outstanding preferred shares will be converted into, and re-designated and re-classified, as ordinary shares on a one-for-one basis. Series E-3 and Series F preferred shares will be converted into the ordinary shares upon the completion of the offering on a ratio of approximately 0.9984:1 and 0.9940:1, respectively (due to certain anti-dilution mechanism pursuant to the currently effective memorandum and articles of association).</w:t>
      </w:r>
    </w:p>
    <w:p>
      <w:pPr>
        <w:spacing w:after="0" w:line="8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We have adopted a post-offering amended and restated memorandum and articles of association, which will become effective and replace the current fourth amended and restated memorandum and articles of association in its entirety immediately prior to the completion of this offering. Our post-offering amended and restated memorandum and articles of association will provide that, upon the closing of this offering, we will have two classes of shares, the Class A ordinary shares and Class B ordinary shares. Our authorized share capital upon completion of the offering will be US$200,000 divided into 1,400,000,000 Class A ordinary shares of a par value of US$0.0001 each, 400,000,000 Class B ordinary shares of a par value of US$0.0001 each and 200,000,000 shares of such class or classes as our board may determine in accordance with our post-offering amended and restated memorandum and articles of association. Immediately upon the completion of this offering, we will have 670,157,244 Class A ordinary shares and 331,292,603 Class B ordinary shares issued and outstanding, assuming the underwriters do not exercise their option to purchase additional ADSs. All incentive shares, including options, restricted shares and restricted share units, regardless of the grant dates, will entitle holders to an equivalent number of Class A ordinary shares once the vesting and exercising conditions are met.</w:t>
      </w:r>
    </w:p>
    <w:p>
      <w:pPr>
        <w:spacing w:after="0" w:line="74"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upon the closing of this offering.</w:t>
      </w:r>
    </w:p>
    <w:p>
      <w:pPr>
        <w:spacing w:after="0" w:line="11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Objects of Our Company</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Under our proposed post-offering amended and restated memorandum and articles of association, the objects of our company are unrestricted and we have the full power and authority to carry out any object not prohibited by the Cayman Islands law.</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5" w:name="page256"/>
    <w:bookmarkEnd w:id="25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Ordinary Shares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Immediately prior to the completion of this offering, our authorized share capital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US$200,000 divided into 1,400,000,000 Class A ordinary shares, 400,000,000 Class B ordinary shares and 200,000,000 shares of such class or classes as our board may determine in accordance with our post-offering amended and restated memorandum and articles of association, with a par value of US$0.0001 each. Holders of ordinary shares will have the same rights except for voting and conversion rights. All of our issued and outstanding ordinary shares are fully paid and non-assessable. Certificates representing the ordinary shares are issued in registered form. We may not issue shares to bearer. Our shareholders who are non-residents of the Cayman Islands may freely hold and transfer their ordinary shares.</w:t>
      </w:r>
    </w:p>
    <w:p>
      <w:pPr>
        <w:spacing w:after="0" w:line="8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Conversion. </w:t>
      </w:r>
      <w:r>
        <w:rPr>
          <w:rFonts w:ascii="Arial" w:cs="Arial" w:eastAsia="Arial" w:hAnsi="Arial"/>
          <w:sz w:val="14"/>
          <w:szCs w:val="14"/>
          <w:color w:val="auto"/>
        </w:rPr>
        <w:t>Each Class B ordinary share is convertible into one fully paid Class A ordinary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 at any time by the holder thereof. Class A 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Class B ordinary shares becomes a beneficial owner of such ordinary shares, such Class B ordinary shares shall be automatically and immediately converted into an equal number of Class A ordinary shares.</w:t>
      </w:r>
    </w:p>
    <w:p>
      <w:pPr>
        <w:spacing w:after="0" w:line="8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Dividends. </w:t>
      </w:r>
      <w:r>
        <w:rPr>
          <w:rFonts w:ascii="Arial" w:cs="Arial" w:eastAsia="Arial" w:hAnsi="Arial"/>
          <w:sz w:val="14"/>
          <w:szCs w:val="14"/>
          <w:color w:val="auto"/>
        </w:rPr>
        <w:t>The holders of our ordinary shares are entitled to such dividends as may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declared by our board of directors subject to our post-offering amended and restated memorandum and articles of association and the Companies Act. Our post-offering amended and restated articles of association provide that dividends may be declared and paid out of our profits, realized or unrealized.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7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Voting Rights; Meeting of Shareholders. </w:t>
      </w:r>
      <w:r>
        <w:rPr>
          <w:rFonts w:ascii="Arial" w:cs="Arial" w:eastAsia="Arial" w:hAnsi="Arial"/>
          <w:sz w:val="14"/>
          <w:szCs w:val="14"/>
          <w:color w:val="auto"/>
        </w:rPr>
        <w:t>In respect of all matters subject to a shareholders’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vote, holders of ordinary shares shall, at all times, vote on all matters submitted to a vote by the members at any such general meeting. Each Class A ordinary share shall be entitled to one vote on all matters subject to the vote at general meetings of our company, and each Class B ordinary share shall be entitled to 10 votes on all matters subject to the vote at general meetings (including extraordinary general meetings) of our company. Voting at any meeting of shareholders is by a poll and not by show of hands.</w:t>
      </w:r>
    </w:p>
    <w:p>
      <w:pPr>
        <w:spacing w:after="0" w:line="86"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A quorum required for a meeting of shareholders consists of one or more shareholders holding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w:t>
      </w:r>
    </w:p>
    <w:p>
      <w:pPr>
        <w:spacing w:after="0" w:line="25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6" w:name="page257"/>
    <w:bookmarkEnd w:id="25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called by such shareholders. Advance notice of at least seven (7) business days is required for the convening of our annual general meeting and other general meetings unless such notice is waived in accordance with our articles of association.</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An ordinary resolution to be passed at a meeting by the shareholders requires the affirmative vote of not less than a simple majority of all votes cast by those shareholders entitled to vote who are present in person or by proxy at a general meeting, while a special resolution requires the affirmative vote of not less than two-thirds of all votes cast by those shareholders entitled to vote who are present in person or by proxy at a general meeting. A special resolution will be required for important matters such as a change of name or making changes to our post-offering amended and restated memorandum and articles of association.</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Transfer of Ordinary Shares. </w:t>
      </w:r>
      <w:r>
        <w:rPr>
          <w:rFonts w:ascii="Arial" w:cs="Arial" w:eastAsia="Arial" w:hAnsi="Arial"/>
          <w:sz w:val="14"/>
          <w:szCs w:val="14"/>
          <w:color w:val="auto"/>
        </w:rPr>
        <w:t>Subject to the restrictions in our post-offering amended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restated memorandum and articles of association as set out below, any of our shareholders may transfer all or any of his or her ordinary shares by an instrument of transfer in the usual or common form or in a form prescribed by the designated stock exchange or in any other form approved by our board of directors. Our board of directors may, in its absolute discretion, decline to register any transfer of any ordinary shares which are not fully paid up or on which we have a lien. Our board of directors may also decline to register any transfer of any ordinary shares unless:</w:t>
      </w:r>
    </w:p>
    <w:p>
      <w:pPr>
        <w:spacing w:after="0" w:line="76" w:lineRule="exact"/>
        <w:rPr>
          <w:sz w:val="20"/>
          <w:szCs w:val="20"/>
          <w:color w:val="auto"/>
        </w:rPr>
      </w:pPr>
    </w:p>
    <w:p>
      <w:pPr>
        <w:jc w:val="both"/>
        <w:ind w:left="1800" w:right="1398" w:hanging="136"/>
        <w:spacing w:after="0" w:line="251" w:lineRule="auto"/>
        <w:tabs>
          <w:tab w:leader="none" w:pos="1804" w:val="left"/>
        </w:tabs>
        <w:numPr>
          <w:ilvl w:val="0"/>
          <w:numId w:val="129"/>
        </w:numPr>
        <w:rPr>
          <w:rFonts w:ascii="Arial" w:cs="Arial" w:eastAsia="Arial" w:hAnsi="Arial"/>
          <w:sz w:val="11"/>
          <w:szCs w:val="11"/>
          <w:color w:val="auto"/>
        </w:rPr>
      </w:pPr>
      <w:r>
        <w:rPr>
          <w:rFonts w:ascii="Arial" w:cs="Arial" w:eastAsia="Arial" w:hAnsi="Arial"/>
          <w:sz w:val="14"/>
          <w:szCs w:val="14"/>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29"/>
        </w:numPr>
        <w:rPr>
          <w:rFonts w:ascii="Arial" w:cs="Arial" w:eastAsia="Arial" w:hAnsi="Arial"/>
          <w:sz w:val="11"/>
          <w:szCs w:val="11"/>
          <w:color w:val="auto"/>
        </w:rPr>
      </w:pPr>
      <w:r>
        <w:rPr>
          <w:rFonts w:ascii="Arial" w:cs="Arial" w:eastAsia="Arial" w:hAnsi="Arial"/>
          <w:sz w:val="14"/>
          <w:szCs w:val="14"/>
          <w:color w:val="auto"/>
        </w:rPr>
        <w:t>the instrument of transfer is in respect of only one class of shares;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29"/>
        </w:numPr>
        <w:rPr>
          <w:rFonts w:ascii="Arial" w:cs="Arial" w:eastAsia="Arial" w:hAnsi="Arial"/>
          <w:sz w:val="11"/>
          <w:szCs w:val="11"/>
          <w:color w:val="auto"/>
        </w:rPr>
      </w:pPr>
      <w:r>
        <w:rPr>
          <w:rFonts w:ascii="Arial" w:cs="Arial" w:eastAsia="Arial" w:hAnsi="Arial"/>
          <w:sz w:val="14"/>
          <w:szCs w:val="14"/>
          <w:color w:val="auto"/>
        </w:rPr>
        <w:t>the instrument of transfer is properly stamped, if required;</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29"/>
        </w:numPr>
        <w:rPr>
          <w:rFonts w:ascii="Arial" w:cs="Arial" w:eastAsia="Arial" w:hAnsi="Arial"/>
          <w:sz w:val="11"/>
          <w:szCs w:val="11"/>
          <w:color w:val="auto"/>
        </w:rPr>
      </w:pPr>
      <w:r>
        <w:rPr>
          <w:rFonts w:ascii="Arial" w:cs="Arial" w:eastAsia="Arial" w:hAnsi="Arial"/>
          <w:sz w:val="14"/>
          <w:szCs w:val="14"/>
          <w:color w:val="auto"/>
        </w:rPr>
        <w:t>in the case of a transfer to joint holders, the number of joint holders to whom the ordinary shares are to be transferred does not exceed four; and</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29"/>
        </w:numPr>
        <w:rPr>
          <w:rFonts w:ascii="Arial" w:cs="Arial" w:eastAsia="Arial" w:hAnsi="Arial"/>
          <w:sz w:val="11"/>
          <w:szCs w:val="11"/>
          <w:color w:val="auto"/>
        </w:rPr>
      </w:pPr>
      <w:r>
        <w:rPr>
          <w:rFonts w:ascii="Arial" w:cs="Arial" w:eastAsia="Arial" w:hAnsi="Arial"/>
          <w:sz w:val="14"/>
          <w:szCs w:val="14"/>
          <w:color w:val="auto"/>
        </w:rPr>
        <w:t>a fee of such maximum sum as the Nasdaq may determine to be payable or such lesser sum as our directors may from time to time require is paid to us in respect thereof.</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If our directors refuse to register a transfer of any shares, they shall within two calendar months after the date on which the instrument of transfer was lodged with our company send notice of the refusal to each of the transferor and the transferee.</w:t>
      </w:r>
    </w:p>
    <w:p>
      <w:pPr>
        <w:spacing w:after="0" w:line="6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registration of transfers may, after compliance with any notice required by the designated stock exchange rules, be suspended and the register closed at such times and for such periods as our board of directors may from time to time determine, provided always that the registration of transfers shall not be suspended nor the register closed for more than thirty (30) calendar days in any year as our board may determine.</w:t>
      </w:r>
    </w:p>
    <w:p>
      <w:pPr>
        <w:spacing w:after="0" w:line="8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Liquidation. </w:t>
      </w:r>
      <w:r>
        <w:rPr>
          <w:rFonts w:ascii="Arial" w:cs="Arial" w:eastAsia="Arial" w:hAnsi="Arial"/>
          <w:sz w:val="14"/>
          <w:szCs w:val="14"/>
          <w:color w:val="auto"/>
        </w:rPr>
        <w:t>On a winding up of our company, if the assets available for distribution amongst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7" w:name="page258"/>
    <w:bookmarkEnd w:id="25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b w:val="1"/>
          <w:bCs w:val="1"/>
          <w:i w:val="1"/>
          <w:iCs w:val="1"/>
          <w:color w:val="auto"/>
        </w:rPr>
        <w:t xml:space="preserve">Calls on Ordinary Shares and Forfeiture of Ordinary Shares. </w:t>
      </w:r>
      <w:r>
        <w:rPr>
          <w:rFonts w:ascii="Arial" w:cs="Arial" w:eastAsia="Arial" w:hAnsi="Arial"/>
          <w:sz w:val="13"/>
          <w:szCs w:val="13"/>
          <w:color w:val="auto"/>
        </w:rPr>
        <w:t>Our board of directors may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time to time make calls upon shareholders for any amounts unpaid on their ordinary shares in a notice served to such shareholders at least fourteen (14) calendar days prior to the specified time of payment. The ordinary shares that have been called upon and remain unpaid are subject to forfeiture.</w:t>
      </w:r>
    </w:p>
    <w:p>
      <w:pPr>
        <w:spacing w:after="0" w:line="64"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b w:val="1"/>
          <w:bCs w:val="1"/>
          <w:i w:val="1"/>
          <w:iCs w:val="1"/>
          <w:color w:val="auto"/>
        </w:rPr>
        <w:t xml:space="preserve">Redemption, Repurchase and Surrender of Ordinary Shares. </w:t>
      </w:r>
      <w:r>
        <w:rPr>
          <w:rFonts w:ascii="Arial" w:cs="Arial" w:eastAsia="Arial" w:hAnsi="Arial"/>
          <w:sz w:val="13"/>
          <w:szCs w:val="13"/>
          <w:color w:val="auto"/>
        </w:rPr>
        <w:t>We may issue shares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post-offering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3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Variations of Rights of Shares. </w:t>
      </w:r>
      <w:r>
        <w:rPr>
          <w:rFonts w:ascii="Arial" w:cs="Arial" w:eastAsia="Arial" w:hAnsi="Arial"/>
          <w:sz w:val="14"/>
          <w:szCs w:val="14"/>
          <w:color w:val="auto"/>
        </w:rPr>
        <w:t>If at any time our share capital is divided into different classes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or series of shares, the rights attached to any class or series of shares (unless otherwise provided by the terms of issue of the shares of that class or series), whether or not our company is being wound-up, may be varied with the consent in writing of the holders of not less than a majority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4"/>
          <w:szCs w:val="14"/>
          <w:i w:val="1"/>
          <w:iCs w:val="1"/>
          <w:color w:val="auto"/>
        </w:rPr>
        <w:t xml:space="preserve">pari passu </w:t>
      </w:r>
      <w:r>
        <w:rPr>
          <w:rFonts w:ascii="Arial" w:cs="Arial" w:eastAsia="Arial" w:hAnsi="Arial"/>
          <w:sz w:val="14"/>
          <w:szCs w:val="14"/>
          <w:color w:val="auto"/>
        </w:rPr>
        <w:t>with such existing class of shares.</w:t>
      </w:r>
    </w:p>
    <w:p>
      <w:pPr>
        <w:spacing w:after="0" w:line="7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Inspection of Books and Records. </w:t>
      </w:r>
      <w:r>
        <w:rPr>
          <w:rFonts w:ascii="Arial" w:cs="Arial" w:eastAsia="Arial" w:hAnsi="Arial"/>
          <w:sz w:val="14"/>
          <w:szCs w:val="14"/>
          <w:color w:val="auto"/>
        </w:rPr>
        <w:t>Holders of our ordinary shares have no general right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Issuance of Additional Shares. </w:t>
      </w:r>
      <w:r>
        <w:rPr>
          <w:rFonts w:ascii="Arial" w:cs="Arial" w:eastAsia="Arial" w:hAnsi="Arial"/>
          <w:sz w:val="14"/>
          <w:szCs w:val="14"/>
          <w:color w:val="auto"/>
        </w:rPr>
        <w:t>Our post-offering amended and restated memorandum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association authorizes our board of directors to issue additional ordinary shares from time to time as our board of directors shall determine, to the extent of available authorized but unissued shares.</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66" w:lineRule="exact"/>
        <w:rPr>
          <w:sz w:val="20"/>
          <w:szCs w:val="20"/>
          <w:color w:val="auto"/>
        </w:rPr>
      </w:pPr>
    </w:p>
    <w:p>
      <w:pPr>
        <w:ind w:left="1800" w:hanging="136"/>
        <w:spacing w:after="0"/>
        <w:tabs>
          <w:tab w:leader="none" w:pos="180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the designation of the series;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the number of shares of the series;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the dividend rights, dividend rates, conversion rights, voting rights; and</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130"/>
        </w:numPr>
        <w:rPr>
          <w:rFonts w:ascii="Arial" w:cs="Arial" w:eastAsia="Arial" w:hAnsi="Arial"/>
          <w:sz w:val="11"/>
          <w:szCs w:val="11"/>
          <w:color w:val="auto"/>
        </w:rPr>
      </w:pPr>
      <w:r>
        <w:rPr>
          <w:rFonts w:ascii="Arial" w:cs="Arial" w:eastAsia="Arial" w:hAnsi="Arial"/>
          <w:sz w:val="14"/>
          <w:szCs w:val="14"/>
          <w:color w:val="auto"/>
        </w:rPr>
        <w:t>the rights and terms of redemption and liquidation preferences.</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Our board of directors may issue preferred shares without action by our shareholders to the extent authorized but unissued. Issuance of these shares may dilute the voting power of holders of ordinary shares.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8" w:name="page259"/>
    <w:bookmarkEnd w:id="25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Anti-Takeover Provisions. </w:t>
      </w:r>
      <w:r>
        <w:rPr>
          <w:rFonts w:ascii="Arial" w:cs="Arial" w:eastAsia="Arial" w:hAnsi="Arial"/>
          <w:sz w:val="14"/>
          <w:szCs w:val="14"/>
          <w:color w:val="auto"/>
        </w:rPr>
        <w:t>Some provisions of our post-offering amended and restated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memorandum and articles of association may discourage, delay or prevent a change of control of our company or management that shareholders may consider favorable, including provisions that:</w:t>
      </w:r>
    </w:p>
    <w:p>
      <w:pPr>
        <w:spacing w:after="0" w:line="76" w:lineRule="exact"/>
        <w:rPr>
          <w:sz w:val="20"/>
          <w:szCs w:val="20"/>
          <w:color w:val="auto"/>
        </w:rPr>
      </w:pPr>
    </w:p>
    <w:p>
      <w:pPr>
        <w:jc w:val="both"/>
        <w:ind w:left="1800" w:right="1398" w:hanging="136"/>
        <w:spacing w:after="0" w:line="251" w:lineRule="auto"/>
        <w:tabs>
          <w:tab w:leader="none" w:pos="1804" w:val="left"/>
        </w:tabs>
        <w:numPr>
          <w:ilvl w:val="0"/>
          <w:numId w:val="131"/>
        </w:numPr>
        <w:rPr>
          <w:rFonts w:ascii="Arial" w:cs="Arial" w:eastAsia="Arial" w:hAnsi="Arial"/>
          <w:sz w:val="11"/>
          <w:szCs w:val="11"/>
          <w:color w:val="auto"/>
        </w:rPr>
      </w:pPr>
      <w:r>
        <w:rPr>
          <w:rFonts w:ascii="Arial" w:cs="Arial" w:eastAsia="Arial" w:hAnsi="Arial"/>
          <w:sz w:val="14"/>
          <w:szCs w:val="14"/>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31"/>
        </w:numPr>
        <w:rPr>
          <w:rFonts w:ascii="Arial" w:cs="Arial" w:eastAsia="Arial" w:hAnsi="Arial"/>
          <w:sz w:val="11"/>
          <w:szCs w:val="11"/>
          <w:color w:val="auto"/>
        </w:rPr>
      </w:pPr>
      <w:r>
        <w:rPr>
          <w:rFonts w:ascii="Arial" w:cs="Arial" w:eastAsia="Arial" w:hAnsi="Arial"/>
          <w:sz w:val="14"/>
          <w:szCs w:val="14"/>
          <w:color w:val="auto"/>
        </w:rPr>
        <w:t>limit the ability of shareholders to requisition and convene general meetings of shareholders.</w:t>
      </w:r>
    </w:p>
    <w:p>
      <w:pPr>
        <w:spacing w:after="0" w:line="9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Exempted Company. </w:t>
      </w:r>
      <w:r>
        <w:rPr>
          <w:rFonts w:ascii="Arial" w:cs="Arial" w:eastAsia="Arial" w:hAnsi="Arial"/>
          <w:sz w:val="14"/>
          <w:szCs w:val="14"/>
          <w:color w:val="auto"/>
        </w:rPr>
        <w:t>We are an exempted company with limited liability under the Companies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Act. The Companies Act distinguishes between ordinary resident companies and exempted companies. Any company that is incorporated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86" w:lineRule="exact"/>
        <w:rPr>
          <w:sz w:val="20"/>
          <w:szCs w:val="20"/>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does not have to file an annual return of its shareholders with the Registrar of Companies;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is not required to open its register of members for inspection;</w:t>
      </w:r>
    </w:p>
    <w:p>
      <w:pPr>
        <w:spacing w:after="0" w:line="98" w:lineRule="exact"/>
        <w:rPr>
          <w:rFonts w:ascii="Arial" w:cs="Arial" w:eastAsia="Arial" w:hAnsi="Arial"/>
          <w:sz w:val="11"/>
          <w:szCs w:val="11"/>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does not have to hold an annual general meeting;</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may issue shares with no par value;</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32"/>
        </w:numPr>
        <w:rPr>
          <w:rFonts w:ascii="Arial" w:cs="Arial" w:eastAsia="Arial" w:hAnsi="Arial"/>
          <w:sz w:val="11"/>
          <w:szCs w:val="11"/>
          <w:color w:val="auto"/>
        </w:rPr>
      </w:pPr>
      <w:r>
        <w:rPr>
          <w:rFonts w:ascii="Arial" w:cs="Arial" w:eastAsia="Arial" w:hAnsi="Arial"/>
          <w:sz w:val="14"/>
          <w:szCs w:val="14"/>
          <w:color w:val="auto"/>
        </w:rPr>
        <w:t>may obtain an undertaking against the imposition of any future taxation (such undertakings are usually given for 30 years in the first instance);</w:t>
      </w:r>
    </w:p>
    <w:p>
      <w:pPr>
        <w:spacing w:after="0" w:line="5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32"/>
        </w:numPr>
        <w:rPr>
          <w:rFonts w:ascii="Arial" w:cs="Arial" w:eastAsia="Arial" w:hAnsi="Arial"/>
          <w:sz w:val="11"/>
          <w:szCs w:val="11"/>
          <w:color w:val="auto"/>
        </w:rPr>
      </w:pPr>
      <w:r>
        <w:rPr>
          <w:rFonts w:ascii="Arial" w:cs="Arial" w:eastAsia="Arial" w:hAnsi="Arial"/>
          <w:sz w:val="14"/>
          <w:szCs w:val="14"/>
          <w:color w:val="auto"/>
        </w:rPr>
        <w:t>may register by way of continuation in another jurisdiction and be deregistered in the Cayman Islands;</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may register as a limited duration company; and</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2"/>
        </w:numPr>
        <w:rPr>
          <w:rFonts w:ascii="Arial" w:cs="Arial" w:eastAsia="Arial" w:hAnsi="Arial"/>
          <w:sz w:val="11"/>
          <w:szCs w:val="11"/>
          <w:color w:val="auto"/>
        </w:rPr>
      </w:pPr>
      <w:r>
        <w:rPr>
          <w:rFonts w:ascii="Arial" w:cs="Arial" w:eastAsia="Arial" w:hAnsi="Arial"/>
          <w:sz w:val="14"/>
          <w:szCs w:val="14"/>
          <w:color w:val="auto"/>
        </w:rPr>
        <w:t>may register as a segregated portfolio company.</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Register of Members</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Under the Companies Act, we must keep a register of members and there should be entered therein:</w:t>
      </w:r>
    </w:p>
    <w:p>
      <w:pPr>
        <w:spacing w:after="0" w:line="62" w:lineRule="exact"/>
        <w:rPr>
          <w:sz w:val="20"/>
          <w:szCs w:val="20"/>
          <w:color w:val="auto"/>
        </w:rPr>
      </w:pPr>
    </w:p>
    <w:p>
      <w:pPr>
        <w:jc w:val="both"/>
        <w:ind w:left="1800" w:right="1398" w:hanging="136"/>
        <w:spacing w:after="0" w:line="239" w:lineRule="auto"/>
        <w:tabs>
          <w:tab w:leader="none" w:pos="1804" w:val="left"/>
        </w:tabs>
        <w:numPr>
          <w:ilvl w:val="0"/>
          <w:numId w:val="133"/>
        </w:numPr>
        <w:rPr>
          <w:rFonts w:ascii="Arial" w:cs="Arial" w:eastAsia="Arial" w:hAnsi="Arial"/>
          <w:sz w:val="11"/>
          <w:szCs w:val="11"/>
          <w:color w:val="auto"/>
        </w:rPr>
      </w:pPr>
      <w:r>
        <w:rPr>
          <w:rFonts w:ascii="Arial" w:cs="Arial" w:eastAsia="Arial" w:hAnsi="Arial"/>
          <w:sz w:val="14"/>
          <w:szCs w:val="14"/>
          <w:color w:val="auto"/>
        </w:rPr>
        <w:t>the names and addresses of our members, together with a statement of the shares held by each member, and such statement shall confirm (i) the amount paid or agreed to be considered as paid, on the shares of each member, (ii) the number and category of shares held by each member, and (iii) whether each relevant category of shares held by a member carries voting rights under the articles of association of our company, and if so, whether such voting rights are conditional;</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33"/>
        </w:numPr>
        <w:rPr>
          <w:rFonts w:ascii="Arial" w:cs="Arial" w:eastAsia="Arial" w:hAnsi="Arial"/>
          <w:sz w:val="11"/>
          <w:szCs w:val="11"/>
          <w:color w:val="auto"/>
        </w:rPr>
      </w:pPr>
      <w:r>
        <w:rPr>
          <w:rFonts w:ascii="Arial" w:cs="Arial" w:eastAsia="Arial" w:hAnsi="Arial"/>
          <w:sz w:val="14"/>
          <w:szCs w:val="14"/>
          <w:color w:val="auto"/>
        </w:rPr>
        <w:t>the date on which the name of any person was entered on the register as a member; and</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33"/>
        </w:numPr>
        <w:rPr>
          <w:rFonts w:ascii="Arial" w:cs="Arial" w:eastAsia="Arial" w:hAnsi="Arial"/>
          <w:sz w:val="11"/>
          <w:szCs w:val="11"/>
          <w:color w:val="auto"/>
        </w:rPr>
      </w:pPr>
      <w:r>
        <w:rPr>
          <w:rFonts w:ascii="Arial" w:cs="Arial" w:eastAsia="Arial" w:hAnsi="Arial"/>
          <w:sz w:val="14"/>
          <w:szCs w:val="14"/>
          <w:color w:val="auto"/>
        </w:rPr>
        <w:t>the date on which any person ceased to be a member.</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59" w:name="page260"/>
    <w:bookmarkEnd w:id="25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 and in particular, the depositary (or its nominee) will be deemed to be the registered legal holder of the number of shares set out against its name in our register of members, which shall be the shares represented by the ADSs being offered in this offering.</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Differences in Corporate Law</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7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b w:val="1"/>
          <w:bCs w:val="1"/>
          <w:i w:val="1"/>
          <w:iCs w:val="1"/>
          <w:color w:val="auto"/>
        </w:rPr>
        <w:t xml:space="preserve">Mergers and Similar Arrangements. </w:t>
      </w:r>
      <w:r>
        <w:rPr>
          <w:rFonts w:ascii="Arial" w:cs="Arial" w:eastAsia="Arial" w:hAnsi="Arial"/>
          <w:sz w:val="14"/>
          <w:szCs w:val="14"/>
          <w:color w:val="auto"/>
        </w:rPr>
        <w:t>The Companies Act permits mergers and consolidations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w:t>
      </w:r>
      <w:r>
        <w:rPr>
          <w:rFonts w:ascii="Arial" w:cs="Arial" w:eastAsia="Arial" w:hAnsi="Arial"/>
          <w:sz w:val="14"/>
          <w:szCs w:val="14"/>
          <w:i w:val="1"/>
          <w:iCs w:val="1"/>
          <w:color w:val="auto"/>
        </w:rPr>
        <w:t>Cayman Islands Gazette</w:t>
      </w:r>
      <w:r>
        <w:rPr>
          <w:rFonts w:ascii="Arial" w:cs="Arial" w:eastAsia="Arial" w:hAnsi="Arial"/>
          <w:sz w:val="14"/>
          <w:szCs w:val="14"/>
          <w:color w:val="auto"/>
        </w:rPr>
        <w:t>. Court approval is not required for a merger or consolidation which is effected in compliance with these statutory procedures.</w:t>
      </w:r>
    </w:p>
    <w:p>
      <w:pPr>
        <w:spacing w:after="0" w:line="9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consent of each holder of a fixed or floating security interest over a constituent company is required unless this requirement is waived by a court in the Cayman Islands.</w:t>
      </w:r>
    </w:p>
    <w:p>
      <w:pPr>
        <w:spacing w:after="0" w:line="51"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0" w:name="page261"/>
    <w:bookmarkEnd w:id="26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exercise by the dissenting shareholder of any other rights to which he or she might otherwise be entitled by virtue of holding shares, save for the right to seek relief on the grounds that the merger or consolidation is void or unlawful.</w:t>
      </w:r>
    </w:p>
    <w:p>
      <w:pPr>
        <w:spacing w:after="0" w:line="7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arrangement is approved by (a) three-fourths in value of each class of shareholders, or (b) a majority in number representing three-fourths in value of each class of creditors with whom the arrangement is to be made,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7" w:lineRule="exact"/>
        <w:rPr>
          <w:sz w:val="20"/>
          <w:szCs w:val="20"/>
          <w:color w:val="auto"/>
        </w:rPr>
      </w:pPr>
    </w:p>
    <w:p>
      <w:pPr>
        <w:ind w:left="1800" w:hanging="136"/>
        <w:spacing w:after="0"/>
        <w:tabs>
          <w:tab w:leader="none" w:pos="1800" w:val="left"/>
        </w:tabs>
        <w:numPr>
          <w:ilvl w:val="0"/>
          <w:numId w:val="134"/>
        </w:numPr>
        <w:rPr>
          <w:rFonts w:ascii="Arial" w:cs="Arial" w:eastAsia="Arial" w:hAnsi="Arial"/>
          <w:sz w:val="11"/>
          <w:szCs w:val="11"/>
          <w:color w:val="auto"/>
        </w:rPr>
      </w:pPr>
      <w:r>
        <w:rPr>
          <w:rFonts w:ascii="Arial" w:cs="Arial" w:eastAsia="Arial" w:hAnsi="Arial"/>
          <w:sz w:val="14"/>
          <w:szCs w:val="14"/>
          <w:color w:val="auto"/>
        </w:rPr>
        <w:t>the statutory provisions as to the required majority vote have been met;</w:t>
      </w:r>
    </w:p>
    <w:p>
      <w:pPr>
        <w:spacing w:after="0" w:line="9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34"/>
        </w:numPr>
        <w:rPr>
          <w:rFonts w:ascii="Arial" w:cs="Arial" w:eastAsia="Arial" w:hAnsi="Arial"/>
          <w:sz w:val="11"/>
          <w:szCs w:val="11"/>
          <w:color w:val="auto"/>
        </w:rPr>
      </w:pPr>
      <w:r>
        <w:rPr>
          <w:rFonts w:ascii="Arial" w:cs="Arial" w:eastAsia="Arial" w:hAnsi="Arial"/>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34"/>
        </w:numPr>
        <w:rPr>
          <w:rFonts w:ascii="Arial" w:cs="Arial" w:eastAsia="Arial" w:hAnsi="Arial"/>
          <w:sz w:val="11"/>
          <w:szCs w:val="11"/>
          <w:color w:val="auto"/>
        </w:rPr>
      </w:pPr>
      <w:r>
        <w:rPr>
          <w:rFonts w:ascii="Arial" w:cs="Arial" w:eastAsia="Arial" w:hAnsi="Arial"/>
          <w:sz w:val="14"/>
          <w:szCs w:val="14"/>
          <w:color w:val="auto"/>
        </w:rPr>
        <w:t>the arrangement is such that may be reasonably approved by an intelligent and honest man of that Class acting in respect of his interest; and</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34"/>
        </w:numPr>
        <w:rPr>
          <w:rFonts w:ascii="Arial" w:cs="Arial" w:eastAsia="Arial" w:hAnsi="Arial"/>
          <w:sz w:val="11"/>
          <w:szCs w:val="11"/>
          <w:color w:val="auto"/>
        </w:rPr>
      </w:pPr>
      <w:r>
        <w:rPr>
          <w:rFonts w:ascii="Arial" w:cs="Arial" w:eastAsia="Arial" w:hAnsi="Arial"/>
          <w:sz w:val="14"/>
          <w:szCs w:val="14"/>
          <w:color w:val="auto"/>
        </w:rPr>
        <w:t>the arrangement is not one that would more properly be sanctioned under some other provision of the Companies Act.</w:t>
      </w:r>
    </w:p>
    <w:p>
      <w:pPr>
        <w:spacing w:after="0" w:line="51"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The Companies Act also contains a statutory power of compulsory acquisition which may facilitate the “squeeze out” of a dissenting minority shareholder upon a tender offer. When a tender offer is made and accepted by holders of 90.0% in value of the shares for which the offer has been made, the offeror may, within a two -month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7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Shareholders’ Suits. </w:t>
      </w:r>
      <w:r>
        <w:rPr>
          <w:rFonts w:ascii="Arial" w:cs="Arial" w:eastAsia="Arial" w:hAnsi="Arial"/>
          <w:sz w:val="14"/>
          <w:szCs w:val="14"/>
          <w:color w:val="auto"/>
        </w:rPr>
        <w:t>In principle, we will normally be the proper plaintiff to sue for a wrong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4"/>
          <w:szCs w:val="14"/>
          <w:i w:val="1"/>
          <w:iCs w:val="1"/>
          <w:color w:val="auto"/>
        </w:rPr>
        <w:t>Foss v. Harbottle</w:t>
      </w:r>
      <w:r>
        <w:rPr>
          <w:rFonts w:ascii="Arial" w:cs="Arial" w:eastAsia="Arial" w:hAnsi="Arial"/>
          <w:sz w:val="14"/>
          <w:szCs w:val="14"/>
          <w:color w:val="auto"/>
        </w:rPr>
        <w:t xml:space="preserve"> and the exceptions thereto) which permit a minority shareholder to commence a Class action against or derivative actions in the name of the company to challenge actions where:</w:t>
      </w:r>
    </w:p>
    <w:p>
      <w:pPr>
        <w:spacing w:after="0" w:line="76" w:lineRule="exact"/>
        <w:rPr>
          <w:sz w:val="20"/>
          <w:szCs w:val="20"/>
          <w:color w:val="auto"/>
        </w:rPr>
      </w:pPr>
    </w:p>
    <w:p>
      <w:pPr>
        <w:ind w:left="1800" w:hanging="136"/>
        <w:spacing w:after="0"/>
        <w:tabs>
          <w:tab w:leader="none" w:pos="1800" w:val="left"/>
        </w:tabs>
        <w:numPr>
          <w:ilvl w:val="0"/>
          <w:numId w:val="135"/>
        </w:numPr>
        <w:rPr>
          <w:rFonts w:ascii="Arial" w:cs="Arial" w:eastAsia="Arial" w:hAnsi="Arial"/>
          <w:sz w:val="11"/>
          <w:szCs w:val="11"/>
          <w:color w:val="auto"/>
        </w:rPr>
      </w:pPr>
      <w:r>
        <w:rPr>
          <w:rFonts w:ascii="Arial" w:cs="Arial" w:eastAsia="Arial" w:hAnsi="Arial"/>
          <w:sz w:val="14"/>
          <w:szCs w:val="14"/>
          <w:color w:val="auto"/>
        </w:rPr>
        <w:t>a company acts or proposes to act illegally or ultra vires;</w:t>
      </w:r>
    </w:p>
    <w:p>
      <w:pPr>
        <w:spacing w:after="0" w:line="10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35"/>
        </w:numPr>
        <w:rPr>
          <w:rFonts w:ascii="Arial" w:cs="Arial" w:eastAsia="Arial" w:hAnsi="Arial"/>
          <w:sz w:val="11"/>
          <w:szCs w:val="11"/>
          <w:color w:val="auto"/>
        </w:rPr>
      </w:pPr>
      <w:r>
        <w:rPr>
          <w:rFonts w:ascii="Arial" w:cs="Arial" w:eastAsia="Arial" w:hAnsi="Arial"/>
          <w:sz w:val="14"/>
          <w:szCs w:val="14"/>
          <w:color w:val="auto"/>
        </w:rPr>
        <w:t>the act complained of, although not ultra vires, could only be effected duly if authorized by more than a simple majority vote that has not been obtained; and</w:t>
      </w:r>
    </w:p>
    <w:p>
      <w:pPr>
        <w:spacing w:after="0" w:line="61" w:lineRule="exact"/>
        <w:rPr>
          <w:rFonts w:ascii="Arial" w:cs="Arial" w:eastAsia="Arial" w:hAnsi="Arial"/>
          <w:sz w:val="11"/>
          <w:szCs w:val="11"/>
          <w:color w:val="auto"/>
        </w:rPr>
      </w:pPr>
    </w:p>
    <w:p>
      <w:pPr>
        <w:ind w:left="1800" w:hanging="136"/>
        <w:spacing w:after="0"/>
        <w:tabs>
          <w:tab w:leader="none" w:pos="1800" w:val="left"/>
        </w:tabs>
        <w:numPr>
          <w:ilvl w:val="0"/>
          <w:numId w:val="135"/>
        </w:numPr>
        <w:rPr>
          <w:rFonts w:ascii="Arial" w:cs="Arial" w:eastAsia="Arial" w:hAnsi="Arial"/>
          <w:sz w:val="11"/>
          <w:szCs w:val="11"/>
          <w:color w:val="auto"/>
        </w:rPr>
      </w:pPr>
      <w:r>
        <w:rPr>
          <w:rFonts w:ascii="Arial" w:cs="Arial" w:eastAsia="Arial" w:hAnsi="Arial"/>
          <w:sz w:val="14"/>
          <w:szCs w:val="14"/>
          <w:color w:val="auto"/>
        </w:rPr>
        <w:t>those who control the company are perpetrating a “fraud on the minority.”</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b w:val="1"/>
          <w:bCs w:val="1"/>
          <w:i w:val="1"/>
          <w:iCs w:val="1"/>
          <w:color w:val="auto"/>
        </w:rPr>
        <w:t xml:space="preserve">Indemnification of Directors and Executive Officers and Limitation of Liability. </w:t>
      </w:r>
      <w:r>
        <w:rPr>
          <w:rFonts w:ascii="Arial" w:cs="Arial" w:eastAsia="Arial" w:hAnsi="Arial"/>
          <w:sz w:val="14"/>
          <w:szCs w:val="14"/>
          <w:color w:val="auto"/>
        </w:rPr>
        <w:t>Cayman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Islands law does not limit the extent to which a company’s memorandum and articles of association may provide for indemnification of officers and directors, except to the extent any such provision may be</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1" w:name="page262"/>
    <w:bookmarkEnd w:id="26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7" w:lineRule="auto"/>
        <w:rPr>
          <w:sz w:val="20"/>
          <w:szCs w:val="20"/>
          <w:color w:val="auto"/>
        </w:rPr>
      </w:pPr>
      <w:r>
        <w:rPr>
          <w:rFonts w:ascii="Arial" w:cs="Arial" w:eastAsia="Arial" w:hAnsi="Arial"/>
          <w:sz w:val="14"/>
          <w:szCs w:val="14"/>
          <w:color w:val="auto"/>
        </w:rPr>
        <w:t>held by the Cayman Islands courts to be contrary to public policy, such as to provide indemnification against civil fraud or the consequences of committing a crime. Under our post-offering amended and restated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69"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b w:val="1"/>
          <w:bCs w:val="1"/>
          <w:i w:val="1"/>
          <w:iCs w:val="1"/>
          <w:color w:val="auto"/>
        </w:rPr>
        <w:t xml:space="preserve">Directors’ Fiduciary Duties. </w:t>
      </w:r>
      <w:r>
        <w:rPr>
          <w:rFonts w:ascii="Arial" w:cs="Arial" w:eastAsia="Arial" w:hAnsi="Arial"/>
          <w:sz w:val="14"/>
          <w:szCs w:val="14"/>
          <w:color w:val="auto"/>
        </w:rPr>
        <w:t>Under Delaware corporate law, a director of a Delaware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 -dealing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93"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90"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Shareholder Action by Written Consent </w:t>
      </w:r>
      <w:r>
        <w:rPr>
          <w:rFonts w:ascii="Arial" w:cs="Arial" w:eastAsia="Arial" w:hAnsi="Arial"/>
          <w:sz w:val="14"/>
          <w:szCs w:val="14"/>
          <w:color w:val="auto"/>
        </w:rPr>
        <w:t>Under the Delaware General Corporation Law,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 may eliminate the right of shareholders to act by written consent by amendment to its certificate of incorporation. The Companies Act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2" w:name="page263"/>
    <w:bookmarkEnd w:id="26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b w:val="1"/>
          <w:bCs w:val="1"/>
          <w:i w:val="1"/>
          <w:iCs w:val="1"/>
          <w:color w:val="auto"/>
        </w:rPr>
        <w:t xml:space="preserve">Shareholder Proposals. </w:t>
      </w:r>
      <w:r>
        <w:rPr>
          <w:rFonts w:ascii="Arial" w:cs="Arial" w:eastAsia="Arial" w:hAnsi="Arial"/>
          <w:sz w:val="14"/>
          <w:szCs w:val="14"/>
          <w:color w:val="auto"/>
        </w:rPr>
        <w:t>Under the Delaware General Corporation Law, a shareholder has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8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90"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Cumulative Voting. </w:t>
      </w:r>
      <w:r>
        <w:rPr>
          <w:rFonts w:ascii="Arial" w:cs="Arial" w:eastAsia="Arial" w:hAnsi="Arial"/>
          <w:sz w:val="14"/>
          <w:szCs w:val="14"/>
          <w:color w:val="auto"/>
        </w:rPr>
        <w:t>Under the Delaware General Corporation Law, cumulative voting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elections of directors is not permitted unless the corporation’s certificate of incorporation specifically provides for it.</w:t>
      </w:r>
    </w:p>
    <w:p>
      <w:pPr>
        <w:spacing w:after="0" w:line="6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86" w:lineRule="exact"/>
        <w:rPr>
          <w:sz w:val="20"/>
          <w:szCs w:val="20"/>
          <w:color w:val="auto"/>
        </w:rPr>
      </w:pPr>
    </w:p>
    <w:p>
      <w:pPr>
        <w:jc w:val="both"/>
        <w:ind w:left="1420" w:right="1398" w:firstLine="249"/>
        <w:spacing w:after="0" w:line="252" w:lineRule="auto"/>
        <w:rPr>
          <w:sz w:val="20"/>
          <w:szCs w:val="20"/>
          <w:color w:val="auto"/>
        </w:rPr>
      </w:pPr>
      <w:r>
        <w:rPr>
          <w:rFonts w:ascii="Arial" w:cs="Arial" w:eastAsia="Arial" w:hAnsi="Arial"/>
          <w:sz w:val="13"/>
          <w:szCs w:val="13"/>
          <w:b w:val="1"/>
          <w:bCs w:val="1"/>
          <w:i w:val="1"/>
          <w:iCs w:val="1"/>
          <w:color w:val="auto"/>
        </w:rPr>
        <w:t xml:space="preserve">Removal of Directors. </w:t>
      </w:r>
      <w:r>
        <w:rPr>
          <w:rFonts w:ascii="Arial" w:cs="Arial" w:eastAsia="Arial" w:hAnsi="Arial"/>
          <w:sz w:val="13"/>
          <w:szCs w:val="13"/>
          <w:color w:val="auto"/>
        </w:rPr>
        <w:t>Under the Delaware General Corporation Law, a director of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corporation with a classified board may be removed only for cause with the approval of a majority of the outstanding shares entitled to vote, unless the certificate of incorporation provides otherwise. Under our post-offering amended and restated articles of association, directors (other than the chairman of the board) may be removed with or without cause, by an ordinary resolution of our shareholders or the affirmative vote of a simple majority of the other directors present and voting at a board meeting. A director shall hold office until the expiration of his or her term or his or her successor shall have been elected and qualified, or until his or her office is otherwise vacated. If a Management Director (as defined under the post-offering amended and restated memorandum and articles of association) is removed from office or otherwise ceases to be a director, Mr. Junhong Yao shall have the right to appoint another person as a director and as replacement of the former Management Director by delivering a written notice to us and such replacement shall become effective automatically upon the delivery of such notice without any further action or resolution of the directors or shareholders, provided that Mr. Junhong Yao shall not be entitled to exercise such right if he and his affiliates do not beneficially own any shares. Mr. Junhong Yao may remove any Management Director from office at any time by delivering a written notice to us and such removal shall become effective automatically upon the delivery of such notice without any further action or resolution of the directors or shareholders. In addition, a director’s office shall be vacated if the director (i) dies, becomes bankrupt or makes any arrangement or composition with his creditors; (ii) is found to be or becomes of unsound mind; (iii) resigns his office by notice in writing to the company; (iv) is prohibited by law or stock exchange rules from being a director; or (v) is removed from office pursuant to any other provisions of our post-offering amended and restated memorandum and articles of association.</w:t>
      </w:r>
    </w:p>
    <w:p>
      <w:pPr>
        <w:spacing w:after="0" w:line="26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3" w:name="page264"/>
    <w:bookmarkEnd w:id="26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b w:val="1"/>
          <w:bCs w:val="1"/>
          <w:i w:val="1"/>
          <w:iCs w:val="1"/>
          <w:color w:val="auto"/>
        </w:rPr>
        <w:t xml:space="preserve">Transactions with Interested Shareholders. </w:t>
      </w:r>
      <w:r>
        <w:rPr>
          <w:rFonts w:ascii="Arial" w:cs="Arial" w:eastAsia="Arial" w:hAnsi="Arial"/>
          <w:sz w:val="14"/>
          <w:szCs w:val="14"/>
          <w:color w:val="auto"/>
        </w:rPr>
        <w:t>The Delaware General Corporation Law contains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8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8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Dissolution; Winding up. </w:t>
      </w:r>
      <w:r>
        <w:rPr>
          <w:rFonts w:ascii="Arial" w:cs="Arial" w:eastAsia="Arial" w:hAnsi="Arial"/>
          <w:sz w:val="14"/>
          <w:szCs w:val="14"/>
          <w:color w:val="auto"/>
        </w:rPr>
        <w:t>Under the Delaware General Corporation Law, unless the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post-offering amended and restated articles of association, our company may be dissolved, liquidated or wound up by a special resolution of our shareholders.</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Variation of Rights of Shares. </w:t>
      </w:r>
      <w:r>
        <w:rPr>
          <w:rFonts w:ascii="Arial" w:cs="Arial" w:eastAsia="Arial" w:hAnsi="Arial"/>
          <w:sz w:val="14"/>
          <w:szCs w:val="14"/>
          <w:color w:val="auto"/>
        </w:rPr>
        <w:t>Under the Delaware General Corporation Law, a corporation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may vary the rights of a class of shares with the 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Amendment of Governing Documents. </w:t>
      </w:r>
      <w:r>
        <w:rPr>
          <w:rFonts w:ascii="Arial" w:cs="Arial" w:eastAsia="Arial" w:hAnsi="Arial"/>
          <w:sz w:val="14"/>
          <w:szCs w:val="14"/>
          <w:color w:val="auto"/>
        </w:rPr>
        <w:t>Under the Delaware General Corporation Law,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corporation’s governing documents may be amended with the approval of a majority of the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4" w:name="page265"/>
    <w:bookmarkEnd w:id="26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b w:val="1"/>
          <w:bCs w:val="1"/>
          <w:i w:val="1"/>
          <w:iCs w:val="1"/>
          <w:color w:val="auto"/>
        </w:rPr>
        <w:t xml:space="preserve">Rights of Non-resident or Foreign Shareholders. </w:t>
      </w:r>
      <w:r>
        <w:rPr>
          <w:rFonts w:ascii="Arial" w:cs="Arial" w:eastAsia="Arial" w:hAnsi="Arial"/>
          <w:sz w:val="13"/>
          <w:szCs w:val="13"/>
          <w:color w:val="auto"/>
        </w:rPr>
        <w:t>There are no limitations imposed by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that require our company to disclose shareholder ownership above any particular ownership threshold.</w:t>
      </w:r>
    </w:p>
    <w:p>
      <w:pPr>
        <w:spacing w:after="0" w:line="12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History of Securities Issuances</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is a summary of our securities issuances in the past three years.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Issuance of Ordinary Shares and Preferred Shares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On August 21, 2023, we issued 24,422,238 Series G preferred shares to CTZC Limited for an aggregate consideration of RMB300 million.</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 Option Grants</w:t>
      </w:r>
    </w:p>
    <w:p>
      <w:pPr>
        <w:spacing w:after="0" w:line="9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have granted share options to certain of our directors, executive officers and employees. See “Management — Share Option Plans.”</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Shareholders Agreement</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currently effective shareholders agreement was entered into on August 21, 2023 by and among us, our shareholders, and certain other parties named therein.</w:t>
      </w:r>
    </w:p>
    <w:p>
      <w:pPr>
        <w:spacing w:after="0" w:line="62"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current shareholders agreement provides for certain special rights, including registration right, right to appoint directors, right of first refusal, co-sale right, and drag-along right and contains provisions governing the board of directors and other corporate governance matters. Each of 5Y Capital, Cygnus Equity, Primavera, and API (HONG KONG) Investment Limited, so long as they hold any preferred shares, shall be entitled to appoint one director to the Board. The aforesaid special rights (except the registration right as described below), as well as certain corporate governance provisions, will terminate upon the completion of this offering.</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Registration Rights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Pursuant to the current shareholders agreement, we have granted certain registration rights to our shareholders. Set forth below is a description of the registration rights granted under the agreement.</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b w:val="1"/>
          <w:bCs w:val="1"/>
          <w:i w:val="1"/>
          <w:iCs w:val="1"/>
          <w:color w:val="auto"/>
        </w:rPr>
        <w:t xml:space="preserve">Demand Registration Rights. </w:t>
      </w:r>
      <w:r>
        <w:rPr>
          <w:rFonts w:ascii="Arial" w:cs="Arial" w:eastAsia="Arial" w:hAnsi="Arial"/>
          <w:sz w:val="14"/>
          <w:szCs w:val="14"/>
          <w:color w:val="auto"/>
        </w:rPr>
        <w:t>At any time after the closing of an IPO, shareholders holding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least twenty percent (20%) of the then outstanding shares could submit a request that we effect the registration of the registrable securities under the Securities Act. Upon such a request, we shall within 10 business days of the receipt of such written request give written notice of the proposed registration to all other holders and shall, use our best efforts to effect as soon as practicable, the registration under the Securities Act of all registrable securities which the holders request to be registered within 20 days after the receipt of such notice by us, </w:t>
      </w:r>
      <w:r>
        <w:rPr>
          <w:rFonts w:ascii="Arial" w:cs="Arial" w:eastAsia="Arial" w:hAnsi="Arial"/>
          <w:sz w:val="14"/>
          <w:szCs w:val="14"/>
          <w:i w:val="1"/>
          <w:iCs w:val="1"/>
          <w:color w:val="auto"/>
        </w:rPr>
        <w:t>provided, however</w:t>
      </w:r>
      <w:r>
        <w:rPr>
          <w:rFonts w:ascii="Arial" w:cs="Arial" w:eastAsia="Arial" w:hAnsi="Arial"/>
          <w:sz w:val="14"/>
          <w:szCs w:val="14"/>
          <w:color w:val="auto"/>
        </w:rPr>
        <w:t>, that we shall not be obligated (i) to effect more than one such demand registration within any six-month period pursuant to demand registration rights or Form F-3 registration rights or (ii) to effect a demand registration if the holders had an opportunity to participate pursuant to their piggyback registration rights, other than a registration from which the registrable securities of the holders have been excluded pursuant to the provisions under piggyback registrations. If the underwriter advises the holders initiating the registration request pursuant to the demand registration rights in writing that marketing factors require a limitation on the number of shares to be underwritten, then the underwriter may reduce the number of registrable securities that may be included in the underwriting and allocate such number to holders of registrable securities on a pro rata basis, provided that (A) the number of shares of registrable securities to be included</w:t>
      </w:r>
    </w:p>
    <w:p>
      <w:pPr>
        <w:spacing w:after="0" w:line="11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5" w:name="page266"/>
    <w:bookmarkEnd w:id="26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in such underwriting and registration shall not be reduced unless all other securities are first entirely excluded from the underwriting and registration and (B) at least twenty percent (20%) of shares of registrable securities requested by the holders to be included in such underwriting and registration.</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b w:val="1"/>
          <w:bCs w:val="1"/>
          <w:i w:val="1"/>
          <w:iCs w:val="1"/>
          <w:color w:val="auto"/>
        </w:rPr>
        <w:t xml:space="preserve">Piggyback Registration Rights. </w:t>
      </w:r>
      <w:r>
        <w:rPr>
          <w:rFonts w:ascii="Arial" w:cs="Arial" w:eastAsia="Arial" w:hAnsi="Arial"/>
          <w:sz w:val="14"/>
          <w:szCs w:val="14"/>
          <w:color w:val="auto"/>
        </w:rPr>
        <w:t>If we propose to file a registration statement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Securities Act for purposes of effecting a public offering (including, but not limited to, registration statements relating to secondary offerings of our securities, but excluding registration statements relating to demand registration or Form F-3 registration or to any employee benefit plan or a corporate reorganization), we shall notify all holders of registrable securities in writing at least 30 days prior to such filing and shall afford each such holder an opportunity to include in such registration statement all or any part of the registrable securities then held by such holder. Each holder desiring to include in any such registration statement all or any part of its registrable securities held shall within 20 days after receipt of the above-described notice from us, so notify us in writing, and in such notice shall inform us of the number of registrable securities it wishes to include in such registration statement. If a holder decides not to include its registrable securities in any registration statement thereafter filed by us, such holder shall nevertheless continue to have the right to include any registrable securities in any subsequent registration statement or registration statements as we may be file with respect to offerings of our securities, all upon the terms of conditions set forth herein. If the managing underwriters of any underwritten offering determine in good faith that marketing factors require a limitation on the number of shares to be underwritten, then such managing underwriters may exclude shares (including registrable securities) from the registration and the underwriting, subject to certain limitations.</w:t>
      </w:r>
    </w:p>
    <w:p>
      <w:pPr>
        <w:spacing w:after="0" w:line="9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Form F-3 Registration Rights. </w:t>
      </w:r>
      <w:r>
        <w:rPr>
          <w:rFonts w:ascii="Arial" w:cs="Arial" w:eastAsia="Arial" w:hAnsi="Arial"/>
          <w:sz w:val="14"/>
          <w:szCs w:val="14"/>
          <w:color w:val="auto"/>
        </w:rPr>
        <w:t>If we receive from any holder or holders of at least twenty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percent (20%) of all registration securities then outstanding a written request or requests that we effect a registration on Form F-3 and any related qualification or compliances with respect to all or a part of the registration securities owned by such holder or holders, we shall, when entitled to use Form F-3 or a comparable form to register the requested registrable securities, subject to certain limitations, (i) promptly give written notice of the proposed registration to all other holders of registrable securities, (ii) effect such registration and all such qualifications and compliances as may be so requested as soon as practicable.</w:t>
      </w:r>
    </w:p>
    <w:p>
      <w:pPr>
        <w:spacing w:after="0" w:line="7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Expense of Registration. </w:t>
      </w:r>
      <w:r>
        <w:rPr>
          <w:rFonts w:ascii="Arial" w:cs="Arial" w:eastAsia="Arial" w:hAnsi="Arial"/>
          <w:sz w:val="14"/>
          <w:szCs w:val="14"/>
          <w:color w:val="auto"/>
        </w:rPr>
        <w:t>We will bear all registration expenses, except for certain selling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expenses, incurred in connection with any demand, piggyback or F-3 registration, subject to certain limitations.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b w:val="1"/>
          <w:bCs w:val="1"/>
          <w:i w:val="1"/>
          <w:iCs w:val="1"/>
          <w:color w:val="auto"/>
        </w:rPr>
        <w:t xml:space="preserve">Termination of Registration Rights. </w:t>
      </w:r>
      <w:r>
        <w:rPr>
          <w:rFonts w:ascii="Arial" w:cs="Arial" w:eastAsia="Arial" w:hAnsi="Arial"/>
          <w:sz w:val="14"/>
          <w:szCs w:val="14"/>
          <w:color w:val="auto"/>
        </w:rPr>
        <w:t>Our shareholders’ registration rights will terminate (i)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fifth anniversary of the date of closing of an initial public offering, (ii) if all such registrable securities proposed to be sold by a holder may then be sold without registration in any ninety (90)-day period pursuant to Rule 144 promulgated under the Securities Act.</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6" w:name="page267"/>
    <w:bookmarkEnd w:id="26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DESCRIPTION OF AMERICAN DEPOSITARY SHARES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American Depositary Shares</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Deutsche Bank Trust Company Americas, as depositary, will register and deliver the ADSs. Each ADS will represent ownership of 20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7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 xml:space="preserve">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w:t>
      </w:r>
      <w:r>
        <w:rPr>
          <w:rFonts w:ascii="Arial" w:cs="Arial" w:eastAsia="Arial" w:hAnsi="Arial"/>
          <w:sz w:val="14"/>
          <w:szCs w:val="14"/>
          <w:i w:val="1"/>
          <w:iCs w:val="1"/>
          <w:color w:val="auto"/>
        </w:rPr>
        <w:t>Jurisdiction and Arbitration</w:t>
      </w:r>
      <w:r>
        <w:rPr>
          <w:rFonts w:ascii="Arial" w:cs="Arial" w:eastAsia="Arial" w:hAnsi="Arial"/>
          <w:sz w:val="14"/>
          <w:szCs w:val="14"/>
          <w:color w:val="auto"/>
        </w:rPr>
        <w:t>.”</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t>
      </w:r>
      <w:r>
        <w:rPr>
          <w:rFonts w:ascii="Arial" w:cs="Arial" w:eastAsia="Arial" w:hAnsi="Arial"/>
          <w:sz w:val="14"/>
          <w:szCs w:val="14"/>
          <w:i w:val="1"/>
          <w:iCs w:val="1"/>
          <w:color w:val="auto"/>
        </w:rPr>
        <w:t>Where You Can</w:t>
      </w:r>
      <w:r>
        <w:rPr>
          <w:rFonts w:ascii="Arial" w:cs="Arial" w:eastAsia="Arial" w:hAnsi="Arial"/>
          <w:sz w:val="14"/>
          <w:szCs w:val="14"/>
          <w:color w:val="auto"/>
        </w:rPr>
        <w:t xml:space="preserve"> </w:t>
      </w:r>
      <w:r>
        <w:rPr>
          <w:rFonts w:ascii="Arial" w:cs="Arial" w:eastAsia="Arial" w:hAnsi="Arial"/>
          <w:sz w:val="14"/>
          <w:szCs w:val="14"/>
          <w:i w:val="1"/>
          <w:iCs w:val="1"/>
          <w:color w:val="auto"/>
        </w:rPr>
        <w:t>Find Additional Information</w:t>
      </w:r>
      <w:r>
        <w:rPr>
          <w:rFonts w:ascii="Arial" w:cs="Arial" w:eastAsia="Arial" w:hAnsi="Arial"/>
          <w:sz w:val="14"/>
          <w:szCs w:val="14"/>
          <w:color w:val="auto"/>
        </w:rPr>
        <w:t>.”</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Holding the ADSs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will you hold your ADSs?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Dividends and Other Distributions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will you receive dividends and other distributions on the shares?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74" w:lineRule="exact"/>
        <w:rPr>
          <w:sz w:val="20"/>
          <w:szCs w:val="20"/>
          <w:color w:val="auto"/>
        </w:rPr>
      </w:pPr>
    </w:p>
    <w:p>
      <w:pPr>
        <w:jc w:val="both"/>
        <w:ind w:left="1800" w:right="1398" w:hanging="136"/>
        <w:spacing w:after="0" w:line="245" w:lineRule="auto"/>
        <w:tabs>
          <w:tab w:leader="none" w:pos="1783" w:val="left"/>
        </w:tabs>
        <w:numPr>
          <w:ilvl w:val="0"/>
          <w:numId w:val="136"/>
        </w:numPr>
        <w:rPr>
          <w:rFonts w:ascii="Arial" w:cs="Arial" w:eastAsia="Arial" w:hAnsi="Arial"/>
          <w:sz w:val="11"/>
          <w:szCs w:val="11"/>
          <w:b w:val="1"/>
          <w:bCs w:val="1"/>
          <w:i w:val="1"/>
          <w:iCs w:val="1"/>
          <w:color w:val="auto"/>
        </w:rPr>
      </w:pPr>
      <w:r>
        <w:rPr>
          <w:rFonts w:ascii="Arial" w:cs="Arial" w:eastAsia="Arial" w:hAnsi="Arial"/>
          <w:sz w:val="14"/>
          <w:szCs w:val="14"/>
          <w:b w:val="1"/>
          <w:bCs w:val="1"/>
          <w:i w:val="1"/>
          <w:iCs w:val="1"/>
          <w:color w:val="auto"/>
        </w:rPr>
        <w:t xml:space="preserve">Cash. </w:t>
      </w:r>
      <w:r>
        <w:rPr>
          <w:rFonts w:ascii="Arial" w:cs="Arial" w:eastAsia="Arial" w:hAnsi="Arial"/>
          <w:sz w:val="14"/>
          <w:szCs w:val="14"/>
          <w:color w:val="auto"/>
        </w:rPr>
        <w:t>The depositary will convert or cause to be converted any cash dividend or other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distribution we pay on the ordinary shares or any net proceeds from the sale of any ordinary shares, rights, securities or other entitlements under the terms of the deposit agreement into U.S. dollars if it can do so on a practicable basis, and can transfer the U.S. dollars to the</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7" w:name="page268"/>
    <w:bookmarkEnd w:id="26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spacing w:after="0" w:line="237" w:lineRule="auto"/>
        <w:rPr>
          <w:sz w:val="20"/>
          <w:szCs w:val="20"/>
          <w:color w:val="auto"/>
        </w:rPr>
      </w:pPr>
      <w:r>
        <w:rPr>
          <w:rFonts w:ascii="Arial" w:cs="Arial" w:eastAsia="Arial" w:hAnsi="Arial"/>
          <w:sz w:val="14"/>
          <w:szCs w:val="14"/>
          <w:color w:val="auto"/>
        </w:rPr>
        <w:t>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84" w:lineRule="exact"/>
        <w:rPr>
          <w:sz w:val="20"/>
          <w:szCs w:val="20"/>
          <w:color w:val="auto"/>
        </w:rPr>
      </w:pPr>
    </w:p>
    <w:p>
      <w:pPr>
        <w:jc w:val="both"/>
        <w:ind w:left="1800" w:right="1398" w:hanging="136"/>
        <w:spacing w:after="0" w:line="241" w:lineRule="auto"/>
        <w:tabs>
          <w:tab w:leader="none" w:pos="1804" w:val="left"/>
        </w:tabs>
        <w:numPr>
          <w:ilvl w:val="0"/>
          <w:numId w:val="137"/>
        </w:numPr>
        <w:rPr>
          <w:rFonts w:ascii="Arial" w:cs="Arial" w:eastAsia="Arial" w:hAnsi="Arial"/>
          <w:sz w:val="11"/>
          <w:szCs w:val="11"/>
          <w:color w:val="auto"/>
        </w:rPr>
      </w:pPr>
      <w:r>
        <w:rPr>
          <w:rFonts w:ascii="Arial" w:cs="Arial" w:eastAsia="Arial" w:hAnsi="Arial"/>
          <w:sz w:val="14"/>
          <w:szCs w:val="14"/>
          <w:color w:val="auto"/>
        </w:rPr>
        <w:t>Before making a distribution, any taxes or other governmental charges, together with fees and expenses of the depositary, that must be paid, will be deducted. See “</w:t>
      </w:r>
      <w:r>
        <w:rPr>
          <w:rFonts w:ascii="Arial" w:cs="Arial" w:eastAsia="Arial" w:hAnsi="Arial"/>
          <w:sz w:val="14"/>
          <w:szCs w:val="14"/>
          <w:i w:val="1"/>
          <w:iCs w:val="1"/>
          <w:color w:val="auto"/>
        </w:rPr>
        <w:t>Taxation</w:t>
      </w:r>
      <w:r>
        <w:rPr>
          <w:rFonts w:ascii="Arial" w:cs="Arial" w:eastAsia="Arial" w:hAnsi="Arial"/>
          <w:sz w:val="14"/>
          <w:szCs w:val="14"/>
          <w:color w:val="auto"/>
        </w:rPr>
        <w:t xml:space="preserve">.” It will distribute only whole U.S. dollars and cents and will round down fractional cents to the nearest whole cent. </w:t>
      </w:r>
      <w:r>
        <w:rPr>
          <w:rFonts w:ascii="Arial" w:cs="Arial" w:eastAsia="Arial" w:hAnsi="Arial"/>
          <w:sz w:val="14"/>
          <w:szCs w:val="14"/>
          <w:i w:val="1"/>
          <w:iCs w:val="1"/>
          <w:color w:val="auto"/>
        </w:rPr>
        <w:t>If the exchange rates fluctuate during a time when the depositary cannot convert the</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currency, you may lose some or all of the value of the distribution.</w:t>
      </w:r>
    </w:p>
    <w:p>
      <w:pPr>
        <w:spacing w:after="0" w:line="84" w:lineRule="exact"/>
        <w:rPr>
          <w:rFonts w:ascii="Arial" w:cs="Arial" w:eastAsia="Arial" w:hAnsi="Arial"/>
          <w:sz w:val="11"/>
          <w:szCs w:val="11"/>
          <w:color w:val="auto"/>
        </w:rPr>
      </w:pPr>
    </w:p>
    <w:p>
      <w:pPr>
        <w:jc w:val="both"/>
        <w:ind w:left="1800" w:right="1398" w:hanging="136"/>
        <w:spacing w:after="0" w:line="236" w:lineRule="auto"/>
        <w:tabs>
          <w:tab w:leader="none" w:pos="1804" w:val="left"/>
        </w:tabs>
        <w:numPr>
          <w:ilvl w:val="0"/>
          <w:numId w:val="137"/>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Shares. </w:t>
      </w:r>
      <w:r>
        <w:rPr>
          <w:rFonts w:ascii="Arial" w:cs="Arial" w:eastAsia="Arial" w:hAnsi="Arial"/>
          <w:sz w:val="14"/>
          <w:szCs w:val="14"/>
          <w:color w:val="auto"/>
        </w:rPr>
        <w:t>For any ordinary shares we distribute as a dividend or free distribution, either (1)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depositary will distribute 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77" w:lineRule="exact"/>
        <w:rPr>
          <w:rFonts w:ascii="Arial" w:cs="Arial" w:eastAsia="Arial" w:hAnsi="Arial"/>
          <w:sz w:val="11"/>
          <w:szCs w:val="11"/>
          <w:color w:val="auto"/>
        </w:rPr>
      </w:pPr>
    </w:p>
    <w:p>
      <w:pPr>
        <w:jc w:val="both"/>
        <w:ind w:left="1800" w:right="1398" w:hanging="136"/>
        <w:spacing w:after="0" w:line="235" w:lineRule="auto"/>
        <w:tabs>
          <w:tab w:leader="none" w:pos="1804" w:val="left"/>
        </w:tabs>
        <w:numPr>
          <w:ilvl w:val="0"/>
          <w:numId w:val="137"/>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Elective Distributions in Cash or Shares. </w:t>
      </w:r>
      <w:r>
        <w:rPr>
          <w:rFonts w:ascii="Arial" w:cs="Arial" w:eastAsia="Arial" w:hAnsi="Arial"/>
          <w:sz w:val="14"/>
          <w:szCs w:val="14"/>
          <w:color w:val="auto"/>
        </w:rPr>
        <w:t>If we offer holders of our ordinary shares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84" w:lineRule="exact"/>
        <w:rPr>
          <w:rFonts w:ascii="Arial" w:cs="Arial" w:eastAsia="Arial" w:hAnsi="Arial"/>
          <w:sz w:val="11"/>
          <w:szCs w:val="11"/>
          <w:color w:val="auto"/>
        </w:rPr>
      </w:pPr>
    </w:p>
    <w:p>
      <w:pPr>
        <w:jc w:val="both"/>
        <w:ind w:left="1800" w:right="1398" w:hanging="136"/>
        <w:spacing w:after="0" w:line="235" w:lineRule="auto"/>
        <w:tabs>
          <w:tab w:leader="none" w:pos="1783" w:val="left"/>
        </w:tabs>
        <w:numPr>
          <w:ilvl w:val="0"/>
          <w:numId w:val="137"/>
        </w:numPr>
        <w:rPr>
          <w:rFonts w:ascii="Arial" w:cs="Arial" w:eastAsia="Arial" w:hAnsi="Arial"/>
          <w:sz w:val="11"/>
          <w:szCs w:val="11"/>
          <w:b w:val="1"/>
          <w:bCs w:val="1"/>
          <w:i w:val="1"/>
          <w:iCs w:val="1"/>
          <w:color w:val="auto"/>
        </w:rPr>
      </w:pPr>
      <w:r>
        <w:rPr>
          <w:rFonts w:ascii="Arial" w:cs="Arial" w:eastAsia="Arial" w:hAnsi="Arial"/>
          <w:sz w:val="14"/>
          <w:szCs w:val="14"/>
          <w:b w:val="1"/>
          <w:bCs w:val="1"/>
          <w:i w:val="1"/>
          <w:iCs w:val="1"/>
          <w:color w:val="auto"/>
        </w:rPr>
        <w:t xml:space="preserve">Rights to Purchase Additional Shares. </w:t>
      </w:r>
      <w:r>
        <w:rPr>
          <w:rFonts w:ascii="Arial" w:cs="Arial" w:eastAsia="Arial" w:hAnsi="Arial"/>
          <w:sz w:val="14"/>
          <w:szCs w:val="14"/>
          <w:color w:val="auto"/>
        </w:rPr>
        <w:t>If we offer holders of our ordinary shares any rights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1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8" w:name="page269"/>
    <w:bookmarkEnd w:id="26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8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8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There can be no assurance that you will be given the opportunity to exercise rights on the same terms and conditions as the holders of ordinary shares or be able to exercise such rights.</w:t>
      </w:r>
    </w:p>
    <w:p>
      <w:pPr>
        <w:spacing w:after="0" w:line="51" w:lineRule="exact"/>
        <w:rPr>
          <w:sz w:val="20"/>
          <w:szCs w:val="20"/>
          <w:color w:val="auto"/>
        </w:rPr>
      </w:pPr>
    </w:p>
    <w:p>
      <w:pPr>
        <w:jc w:val="both"/>
        <w:ind w:left="1800" w:right="1398" w:hanging="136"/>
        <w:spacing w:after="0" w:line="235" w:lineRule="auto"/>
        <w:tabs>
          <w:tab w:leader="none" w:pos="1804" w:val="left"/>
        </w:tabs>
        <w:numPr>
          <w:ilvl w:val="0"/>
          <w:numId w:val="138"/>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Other Distributions. </w:t>
      </w:r>
      <w:r>
        <w:rPr>
          <w:rFonts w:ascii="Arial" w:cs="Arial" w:eastAsia="Arial" w:hAnsi="Arial"/>
          <w:sz w:val="14"/>
          <w:szCs w:val="14"/>
          <w:color w:val="auto"/>
        </w:rPr>
        <w:t>Subject to receipt of timely notice, as described in the deposit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from 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90"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Deposit, Withdrawal and Cancellation</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are ADSs issued?</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Except for ordinary shares deposited by us in connection with this offering, no shares will be accepted for deposit during a period of 180 days after the date of this prospectus. The 180-day lock up period is subject to adjustment under certain circumstances as described in the section entitled “</w:t>
      </w:r>
      <w:r>
        <w:rPr>
          <w:rFonts w:ascii="Arial" w:cs="Arial" w:eastAsia="Arial" w:hAnsi="Arial"/>
          <w:sz w:val="14"/>
          <w:szCs w:val="14"/>
          <w:i w:val="1"/>
          <w:iCs w:val="1"/>
          <w:color w:val="auto"/>
        </w:rPr>
        <w:t>Shares Eligible for Future Sales — Lock-up Agreements</w:t>
      </w:r>
      <w:r>
        <w:rPr>
          <w:rFonts w:ascii="Arial" w:cs="Arial" w:eastAsia="Arial" w:hAnsi="Arial"/>
          <w:sz w:val="14"/>
          <w:szCs w:val="14"/>
          <w:color w:val="auto"/>
        </w:rPr>
        <w: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do ADS holders cancel an American Depositary Share?</w:t>
      </w:r>
    </w:p>
    <w:p>
      <w:pPr>
        <w:spacing w:after="0" w:line="107"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w:t>
      </w:r>
    </w:p>
    <w:p>
      <w:pPr>
        <w:spacing w:after="0" w:line="7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69" w:name="page270"/>
    <w:bookmarkEnd w:id="26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do ADS holders interchange between Certificated ADSs and Uncertificated ADSs?</w:t>
      </w:r>
    </w:p>
    <w:p>
      <w:pPr>
        <w:spacing w:after="0" w:line="107"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2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Voting Rights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do you vote?</w:t>
      </w:r>
    </w:p>
    <w:p>
      <w:pPr>
        <w:spacing w:after="0" w:line="10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Arial" w:cs="Arial" w:eastAsia="Arial" w:hAnsi="Arial"/>
          <w:sz w:val="14"/>
          <w:szCs w:val="14"/>
          <w:i w:val="1"/>
          <w:iCs w:val="1"/>
          <w:color w:val="auto"/>
        </w:rPr>
        <w:t>Otherwise, you could exercise your right to vote directly if you withdraw the</w:t>
      </w:r>
      <w:r>
        <w:rPr>
          <w:rFonts w:ascii="Arial" w:cs="Arial" w:eastAsia="Arial" w:hAnsi="Arial"/>
          <w:sz w:val="14"/>
          <w:szCs w:val="14"/>
          <w:color w:val="auto"/>
        </w:rPr>
        <w:t xml:space="preserve"> </w:t>
      </w:r>
      <w:r>
        <w:rPr>
          <w:rFonts w:ascii="Arial" w:cs="Arial" w:eastAsia="Arial" w:hAnsi="Arial"/>
          <w:sz w:val="14"/>
          <w:szCs w:val="14"/>
          <w:i w:val="1"/>
          <w:iCs w:val="1"/>
          <w:color w:val="auto"/>
        </w:rPr>
        <w:t>ordinary shares. However, you may not know about the meeting sufficiently enough in advance to withdraw the ordinary shares.</w:t>
      </w:r>
    </w:p>
    <w:p>
      <w:pPr>
        <w:spacing w:after="0" w:line="76"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w:t>
      </w:r>
    </w:p>
    <w:p>
      <w:pPr>
        <w:spacing w:after="0" w:line="2" w:lineRule="exact"/>
        <w:rPr>
          <w:sz w:val="20"/>
          <w:szCs w:val="20"/>
          <w:color w:val="auto"/>
        </w:rPr>
      </w:pPr>
    </w:p>
    <w:p>
      <w:pPr>
        <w:jc w:val="both"/>
        <w:ind w:left="1420" w:right="1398" w:hanging="5"/>
        <w:spacing w:after="0" w:line="233" w:lineRule="auto"/>
        <w:tabs>
          <w:tab w:leader="none" w:pos="1632" w:val="left"/>
        </w:tabs>
        <w:numPr>
          <w:ilvl w:val="0"/>
          <w:numId w:val="139"/>
        </w:numPr>
        <w:rPr>
          <w:rFonts w:ascii="Arial" w:cs="Arial" w:eastAsia="Arial" w:hAnsi="Arial"/>
          <w:sz w:val="14"/>
          <w:szCs w:val="14"/>
          <w:color w:val="auto"/>
        </w:rPr>
      </w:pPr>
      <w:r>
        <w:rPr>
          <w:rFonts w:ascii="Arial" w:cs="Arial" w:eastAsia="Arial" w:hAnsi="Arial"/>
          <w:sz w:val="14"/>
          <w:szCs w:val="14"/>
          <w:color w:val="auto"/>
        </w:rPr>
        <w:t>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w:t>
      </w:r>
    </w:p>
    <w:p>
      <w:pPr>
        <w:spacing w:after="0" w:line="8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 xml:space="preserve">The depositary and its agents are not responsible for failing to carry out voting instructions or for the manner of carrying out voting instructions. </w:t>
      </w:r>
      <w:r>
        <w:rPr>
          <w:rFonts w:ascii="Arial" w:cs="Arial" w:eastAsia="Arial" w:hAnsi="Arial"/>
          <w:sz w:val="14"/>
          <w:szCs w:val="14"/>
          <w:i w:val="1"/>
          <w:iCs w:val="1"/>
          <w:color w:val="auto"/>
        </w:rPr>
        <w:t>This means that you may not be able to exercise your</w:t>
      </w:r>
      <w:r>
        <w:rPr>
          <w:rFonts w:ascii="Arial" w:cs="Arial" w:eastAsia="Arial" w:hAnsi="Arial"/>
          <w:sz w:val="14"/>
          <w:szCs w:val="14"/>
          <w:color w:val="auto"/>
        </w:rPr>
        <w:t xml:space="preserve"> </w:t>
      </w:r>
      <w:r>
        <w:rPr>
          <w:rFonts w:ascii="Arial" w:cs="Arial" w:eastAsia="Arial" w:hAnsi="Arial"/>
          <w:sz w:val="14"/>
          <w:szCs w:val="14"/>
          <w:i w:val="1"/>
          <w:iCs w:val="1"/>
          <w:color w:val="auto"/>
        </w:rPr>
        <w:t>right to vote and you may have no recourse if the ordinary shares underlying your ADSs are not voted as you requested.</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0" w:name="page271"/>
    <w:bookmarkEnd w:id="27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31" w:lineRule="exact"/>
        <w:rPr>
          <w:sz w:val="20"/>
          <w:szCs w:val="20"/>
          <w:color w:val="auto"/>
        </w:rPr>
      </w:pPr>
    </w:p>
    <w:p>
      <w:pPr>
        <w:jc w:val="center"/>
        <w:ind w:right="4278"/>
        <w:spacing w:after="0"/>
        <w:rPr>
          <w:sz w:val="20"/>
          <w:szCs w:val="20"/>
          <w:color w:val="auto"/>
        </w:rPr>
      </w:pPr>
      <w:r>
        <w:rPr>
          <w:rFonts w:ascii="Arial" w:cs="Arial" w:eastAsia="Arial" w:hAnsi="Arial"/>
          <w:sz w:val="13"/>
          <w:szCs w:val="13"/>
          <w:b w:val="1"/>
          <w:bCs w:val="1"/>
          <w:color w:val="auto"/>
        </w:rPr>
        <w:t>Compliance with Regulations</w:t>
      </w:r>
    </w:p>
    <w:p>
      <w:pPr>
        <w:spacing w:after="0" w:line="174"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Information Requests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Disclosure of Interests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Each ADS holder and beneficial owner shall comply with our requests pursuant to Cayman Islands law, the rules and requirements of the Nasdaq Global Market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Fees and Expenses</w:t>
      </w:r>
    </w:p>
    <w:p>
      <w:pPr>
        <w:spacing w:after="0" w:line="98"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9" w:lineRule="exact"/>
        <w:rPr>
          <w:sz w:val="20"/>
          <w:szCs w:val="20"/>
          <w:color w:val="auto"/>
        </w:rPr>
      </w:pPr>
    </w:p>
    <w:p>
      <w:pPr>
        <w:ind w:left="1420"/>
        <w:spacing w:after="0"/>
        <w:tabs>
          <w:tab w:leader="none" w:pos="6160" w:val="left"/>
        </w:tabs>
        <w:rPr>
          <w:sz w:val="20"/>
          <w:szCs w:val="20"/>
          <w:color w:val="auto"/>
        </w:rPr>
      </w:pPr>
      <w:r>
        <w:rPr>
          <w:rFonts w:ascii="Arial" w:cs="Arial" w:eastAsia="Arial" w:hAnsi="Arial"/>
          <w:sz w:val="11"/>
          <w:szCs w:val="11"/>
          <w:b w:val="1"/>
          <w:bCs w:val="1"/>
          <w:color w:val="auto"/>
        </w:rPr>
        <w:t>Service</w:t>
      </w:r>
      <w:r>
        <w:rPr>
          <w:sz w:val="20"/>
          <w:szCs w:val="20"/>
          <w:color w:val="auto"/>
        </w:rPr>
        <w:tab/>
      </w:r>
      <w:r>
        <w:rPr>
          <w:rFonts w:ascii="Arial" w:cs="Arial" w:eastAsia="Arial" w:hAnsi="Arial"/>
          <w:sz w:val="11"/>
          <w:szCs w:val="11"/>
          <w:b w:val="1"/>
          <w:bCs w:val="1"/>
          <w:color w:val="auto"/>
        </w:rPr>
        <w:t>Fees</w:t>
      </w:r>
    </w:p>
    <w:p>
      <w:pPr>
        <w:spacing w:after="0" w:line="31" w:lineRule="exact"/>
        <w:rPr>
          <w:sz w:val="20"/>
          <w:szCs w:val="20"/>
          <w:color w:val="auto"/>
        </w:rPr>
      </w:pPr>
    </w:p>
    <w:p>
      <w:pPr>
        <w:ind w:left="1580" w:right="2158" w:hanging="165"/>
        <w:spacing w:after="0" w:line="245" w:lineRule="auto"/>
        <w:tabs>
          <w:tab w:leader="none" w:pos="1577" w:val="left"/>
        </w:tabs>
        <w:numPr>
          <w:ilvl w:val="0"/>
          <w:numId w:val="140"/>
        </w:numPr>
        <w:rPr>
          <w:rFonts w:ascii="Arial" w:cs="Arial" w:eastAsia="Arial" w:hAnsi="Arial"/>
          <w:sz w:val="11"/>
          <w:szCs w:val="11"/>
          <w:color w:val="auto"/>
        </w:rPr>
      </w:pPr>
      <w:r>
        <w:rPr>
          <w:rFonts w:ascii="Arial" w:cs="Arial" w:eastAsia="Arial" w:hAnsi="Arial"/>
          <w:sz w:val="14"/>
          <w:szCs w:val="14"/>
          <w:color w:val="auto"/>
        </w:rPr>
        <w:t>To any person to which ADSs are issued or to any Up to US$0.05 per ADS issued person to which a distribution is made in respect of</w:t>
      </w:r>
    </w:p>
    <w:p>
      <w:pPr>
        <w:jc w:val="both"/>
        <w:ind w:left="1580" w:right="4138"/>
        <w:spacing w:after="0" w:line="237" w:lineRule="auto"/>
        <w:rPr>
          <w:rFonts w:ascii="Arial" w:cs="Arial" w:eastAsia="Arial" w:hAnsi="Arial"/>
          <w:sz w:val="11"/>
          <w:szCs w:val="11"/>
          <w:color w:val="auto"/>
        </w:rPr>
      </w:pPr>
      <w:r>
        <w:rPr>
          <w:rFonts w:ascii="Arial" w:cs="Arial" w:eastAsia="Arial" w:hAnsi="Arial"/>
          <w:sz w:val="14"/>
          <w:szCs w:val="14"/>
          <w:color w:val="auto"/>
        </w:rPr>
        <w:t>ADS distributions pursuant to stock dividends or other free distributions of stock, bonus distributions, stock splits or other distributions (except where converted to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-607060</wp:posOffset>
            </wp:positionV>
            <wp:extent cx="395351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pacing w:after="0" w:line="8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Arial" w:cs="Arial" w:eastAsia="Arial" w:hAnsi="Arial"/>
                <w:sz w:val="11"/>
                <w:szCs w:val="1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Cancellation  of  ADSs,  including  the</w:t>
            </w:r>
          </w:p>
        </w:tc>
        <w:tc>
          <w:tcPr>
            <w:tcW w:w="3380" w:type="dxa"/>
            <w:vAlign w:val="bottom"/>
          </w:tcPr>
          <w:p>
            <w:pPr>
              <w:jc w:val="right"/>
              <w:ind w:right="511"/>
              <w:spacing w:after="0"/>
              <w:rPr>
                <w:sz w:val="20"/>
                <w:szCs w:val="20"/>
                <w:color w:val="auto"/>
              </w:rPr>
            </w:pPr>
            <w:r>
              <w:rPr>
                <w:rFonts w:ascii="Arial" w:cs="Arial" w:eastAsia="Arial" w:hAnsi="Arial"/>
                <w:sz w:val="14"/>
                <w:szCs w:val="14"/>
                <w:color w:val="auto"/>
              </w:rPr>
              <w:t>case  of Up to US$0.05 per ADS cancelled</w:t>
            </w:r>
          </w:p>
        </w:tc>
      </w:tr>
      <w:tr>
        <w:trPr>
          <w:trHeight w:val="187"/>
        </w:trPr>
        <w:tc>
          <w:tcPr>
            <w:tcW w:w="100" w:type="dxa"/>
            <w:vAlign w:val="bottom"/>
          </w:tcPr>
          <w:p>
            <w:pPr>
              <w:spacing w:after="0"/>
              <w:rPr>
                <w:sz w:val="16"/>
                <w:szCs w:val="16"/>
                <w:color w:val="auto"/>
              </w:rPr>
            </w:pPr>
          </w:p>
        </w:tc>
        <w:tc>
          <w:tcPr>
            <w:tcW w:w="2740" w:type="dxa"/>
            <w:vAlign w:val="bottom"/>
          </w:tcPr>
          <w:p>
            <w:pPr>
              <w:ind w:left="60"/>
              <w:spacing w:after="0"/>
              <w:rPr>
                <w:sz w:val="20"/>
                <w:szCs w:val="20"/>
                <w:color w:val="auto"/>
              </w:rPr>
            </w:pPr>
            <w:r>
              <w:rPr>
                <w:rFonts w:ascii="Arial" w:cs="Arial" w:eastAsia="Arial" w:hAnsi="Arial"/>
                <w:sz w:val="14"/>
                <w:szCs w:val="14"/>
                <w:color w:val="auto"/>
              </w:rPr>
              <w:t>termination of the deposit agreement</w:t>
            </w:r>
          </w:p>
        </w:tc>
        <w:tc>
          <w:tcPr>
            <w:tcW w:w="3380" w:type="dxa"/>
            <w:vAlign w:val="bottom"/>
          </w:tcPr>
          <w:p>
            <w:pPr>
              <w:spacing w:after="0"/>
              <w:rPr>
                <w:sz w:val="16"/>
                <w:szCs w:val="16"/>
                <w:color w:val="auto"/>
              </w:rPr>
            </w:pPr>
          </w:p>
        </w:tc>
      </w:tr>
      <w:tr>
        <w:trPr>
          <w:trHeight w:val="291"/>
        </w:trPr>
        <w:tc>
          <w:tcPr>
            <w:tcW w:w="100" w:type="dxa"/>
            <w:vAlign w:val="bottom"/>
          </w:tcPr>
          <w:p>
            <w:pPr>
              <w:spacing w:after="0"/>
              <w:rPr>
                <w:sz w:val="20"/>
                <w:szCs w:val="20"/>
                <w:color w:val="auto"/>
              </w:rPr>
            </w:pPr>
            <w:r>
              <w:rPr>
                <w:rFonts w:ascii="Arial" w:cs="Arial" w:eastAsia="Arial" w:hAnsi="Arial"/>
                <w:sz w:val="11"/>
                <w:szCs w:val="11"/>
                <w:color w:val="auto"/>
              </w:rPr>
              <w:t>•</w:t>
            </w:r>
          </w:p>
        </w:tc>
        <w:tc>
          <w:tcPr>
            <w:tcW w:w="2740" w:type="dxa"/>
            <w:vAlign w:val="bottom"/>
          </w:tcPr>
          <w:p>
            <w:pPr>
              <w:ind w:left="60"/>
              <w:spacing w:after="0"/>
              <w:rPr>
                <w:sz w:val="20"/>
                <w:szCs w:val="20"/>
                <w:color w:val="auto"/>
              </w:rPr>
            </w:pPr>
            <w:r>
              <w:rPr>
                <w:rFonts w:ascii="Arial" w:cs="Arial" w:eastAsia="Arial" w:hAnsi="Arial"/>
                <w:sz w:val="14"/>
                <w:szCs w:val="14"/>
                <w:color w:val="auto"/>
              </w:rPr>
              <w:t>Distribution of cash dividends</w:t>
            </w:r>
          </w:p>
        </w:tc>
        <w:tc>
          <w:tcPr>
            <w:tcW w:w="3380" w:type="dxa"/>
            <w:vAlign w:val="bottom"/>
          </w:tcPr>
          <w:p>
            <w:pPr>
              <w:jc w:val="right"/>
              <w:ind w:right="831"/>
              <w:spacing w:after="0"/>
              <w:rPr>
                <w:sz w:val="20"/>
                <w:szCs w:val="20"/>
                <w:color w:val="auto"/>
              </w:rPr>
            </w:pPr>
            <w:r>
              <w:rPr>
                <w:rFonts w:ascii="Arial" w:cs="Arial" w:eastAsia="Arial" w:hAnsi="Arial"/>
                <w:sz w:val="14"/>
                <w:szCs w:val="14"/>
                <w:color w:val="auto"/>
              </w:rPr>
              <w:t>Up to US$0.05 per ADS held</w:t>
            </w:r>
          </w:p>
        </w:tc>
      </w:tr>
      <w:tr>
        <w:trPr>
          <w:trHeight w:val="319"/>
        </w:trPr>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2931"/>
              <w:spacing w:after="0"/>
              <w:rPr>
                <w:sz w:val="20"/>
                <w:szCs w:val="20"/>
                <w:color w:val="auto"/>
              </w:rPr>
            </w:pPr>
            <w:r>
              <w:rPr>
                <w:rFonts w:ascii="Arial" w:cs="Arial" w:eastAsia="Arial" w:hAnsi="Arial"/>
                <w:sz w:val="14"/>
                <w:szCs w:val="14"/>
                <w:color w:val="auto"/>
              </w:rPr>
              <w:t>262</w:t>
            </w:r>
          </w:p>
        </w:tc>
      </w:tr>
    </w:tbl>
    <w:p>
      <w:pPr>
        <w:sectPr>
          <w:pgSz w:w="11920" w:h="16838" w:orient="portrait"/>
          <w:cols w:equalWidth="0" w:num="1">
            <w:col w:w="9038"/>
          </w:cols>
          <w:pgMar w:left="1440" w:top="230" w:right="1440" w:bottom="1440" w:gutter="0" w:footer="0" w:header="0"/>
        </w:sectPr>
      </w:pPr>
    </w:p>
    <w:bookmarkStart w:id="271" w:name="page272"/>
    <w:bookmarkEnd w:id="27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90" w:lineRule="exact"/>
        <w:rPr>
          <w:sz w:val="20"/>
          <w:szCs w:val="20"/>
          <w:color w:val="auto"/>
        </w:rPr>
      </w:pPr>
    </w:p>
    <w:p>
      <w:pPr>
        <w:ind w:left="1420"/>
        <w:spacing w:after="0"/>
        <w:tabs>
          <w:tab w:leader="none" w:pos="6160" w:val="left"/>
        </w:tabs>
        <w:rPr>
          <w:sz w:val="20"/>
          <w:szCs w:val="20"/>
          <w:color w:val="auto"/>
        </w:rPr>
      </w:pPr>
      <w:r>
        <w:rPr>
          <w:rFonts w:ascii="Arial" w:cs="Arial" w:eastAsia="Arial" w:hAnsi="Arial"/>
          <w:sz w:val="11"/>
          <w:szCs w:val="11"/>
          <w:b w:val="1"/>
          <w:bCs w:val="1"/>
          <w:color w:val="auto"/>
        </w:rPr>
        <w:t>Service</w:t>
      </w:r>
      <w:r>
        <w:rPr>
          <w:sz w:val="20"/>
          <w:szCs w:val="20"/>
          <w:color w:val="auto"/>
        </w:rPr>
        <w:tab/>
      </w:r>
      <w:r>
        <w:rPr>
          <w:rFonts w:ascii="Arial" w:cs="Arial" w:eastAsia="Arial" w:hAnsi="Arial"/>
          <w:sz w:val="11"/>
          <w:szCs w:val="11"/>
          <w:b w:val="1"/>
          <w:bCs w:val="1"/>
          <w:color w:val="auto"/>
        </w:rPr>
        <w:t>Fees</w:t>
      </w:r>
    </w:p>
    <w:p>
      <w:pPr>
        <w:spacing w:after="0" w:line="31" w:lineRule="exact"/>
        <w:rPr>
          <w:sz w:val="20"/>
          <w:szCs w:val="20"/>
          <w:color w:val="auto"/>
        </w:rPr>
      </w:pPr>
    </w:p>
    <w:p>
      <w:pPr>
        <w:ind w:left="1580" w:right="2298" w:hanging="165"/>
        <w:spacing w:after="0" w:line="245" w:lineRule="auto"/>
        <w:tabs>
          <w:tab w:leader="none" w:pos="1577" w:val="left"/>
        </w:tabs>
        <w:numPr>
          <w:ilvl w:val="0"/>
          <w:numId w:val="141"/>
        </w:numPr>
        <w:rPr>
          <w:rFonts w:ascii="Arial" w:cs="Arial" w:eastAsia="Arial" w:hAnsi="Arial"/>
          <w:sz w:val="11"/>
          <w:szCs w:val="11"/>
          <w:color w:val="auto"/>
        </w:rPr>
      </w:pPr>
      <w:r>
        <w:rPr>
          <w:rFonts w:ascii="Arial" w:cs="Arial" w:eastAsia="Arial" w:hAnsi="Arial"/>
          <w:sz w:val="14"/>
          <w:szCs w:val="14"/>
          <w:color w:val="auto"/>
        </w:rPr>
        <w:t>Distribution of cash entitlements (other than cash Up to US$0.05 per ADS held dividends) and/or cash proceeds from the sale of</w:t>
      </w:r>
    </w:p>
    <w:p>
      <w:pPr>
        <w:ind w:left="1580"/>
        <w:spacing w:after="0"/>
        <w:rPr>
          <w:rFonts w:ascii="Arial" w:cs="Arial" w:eastAsia="Arial" w:hAnsi="Arial"/>
          <w:sz w:val="11"/>
          <w:szCs w:val="11"/>
          <w:color w:val="auto"/>
        </w:rPr>
      </w:pPr>
      <w:r>
        <w:rPr>
          <w:rFonts w:ascii="Arial" w:cs="Arial" w:eastAsia="Arial" w:hAnsi="Arial"/>
          <w:sz w:val="14"/>
          <w:szCs w:val="14"/>
          <w:color w:val="auto"/>
        </w:rPr>
        <w:t>rights, securities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-305435</wp:posOffset>
            </wp:positionV>
            <wp:extent cx="395351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pacing w:after="0" w:line="102" w:lineRule="exact"/>
        <w:rPr>
          <w:sz w:val="20"/>
          <w:szCs w:val="20"/>
          <w:color w:val="auto"/>
        </w:rPr>
      </w:pPr>
    </w:p>
    <w:p>
      <w:pPr>
        <w:ind w:left="1420"/>
        <w:spacing w:after="0"/>
        <w:tabs>
          <w:tab w:leader="none" w:pos="1560" w:val="left"/>
          <w:tab w:leader="none" w:pos="496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4"/>
          <w:szCs w:val="14"/>
          <w:color w:val="auto"/>
        </w:rPr>
        <w:t>Distribution of ADSs pursuant to exercise of rights.</w:t>
      </w:r>
      <w:r>
        <w:rPr>
          <w:sz w:val="20"/>
          <w:szCs w:val="20"/>
          <w:color w:val="auto"/>
        </w:rPr>
        <w:tab/>
      </w:r>
      <w:r>
        <w:rPr>
          <w:rFonts w:ascii="Arial" w:cs="Arial" w:eastAsia="Arial" w:hAnsi="Arial"/>
          <w:sz w:val="13"/>
          <w:szCs w:val="13"/>
          <w:color w:val="auto"/>
        </w:rPr>
        <w:t>Up to US$0.05 per ADS held</w:t>
      </w:r>
    </w:p>
    <w:p>
      <w:pPr>
        <w:spacing w:after="0" w:line="140" w:lineRule="exact"/>
        <w:rPr>
          <w:sz w:val="20"/>
          <w:szCs w:val="20"/>
          <w:color w:val="auto"/>
        </w:rPr>
      </w:pPr>
    </w:p>
    <w:p>
      <w:pPr>
        <w:ind w:left="1580" w:right="2298" w:hanging="165"/>
        <w:spacing w:after="0" w:line="271" w:lineRule="auto"/>
        <w:tabs>
          <w:tab w:leader="none" w:pos="1577" w:val="left"/>
        </w:tabs>
        <w:numPr>
          <w:ilvl w:val="0"/>
          <w:numId w:val="142"/>
        </w:numPr>
        <w:rPr>
          <w:rFonts w:ascii="Arial" w:cs="Arial" w:eastAsia="Arial" w:hAnsi="Arial"/>
          <w:sz w:val="11"/>
          <w:szCs w:val="11"/>
          <w:color w:val="auto"/>
        </w:rPr>
      </w:pPr>
      <w:r>
        <w:rPr>
          <w:rFonts w:ascii="Arial" w:cs="Arial" w:eastAsia="Arial" w:hAnsi="Arial"/>
          <w:sz w:val="14"/>
          <w:szCs w:val="14"/>
          <w:color w:val="auto"/>
        </w:rPr>
        <w:t>Distribution of securities other than ADSs or rights to Up to US$0.05 per ADS held purchase additional ADSs</w:t>
      </w:r>
    </w:p>
    <w:p>
      <w:pPr>
        <w:sectPr>
          <w:pgSz w:w="11920" w:h="16838" w:orient="portrait"/>
          <w:cols w:equalWidth="0" w:num="1">
            <w:col w:w="9038"/>
          </w:cols>
          <w:pgMar w:left="1440" w:top="230" w:right="1440" w:bottom="1440" w:gutter="0" w:footer="0" w:header="0"/>
        </w:sectPr>
      </w:pP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Depositary services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Up to US$0.05 per ADS held on applicable record date(s) established the depositary bank</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3"/>
          <w:szCs w:val="13"/>
          <w:color w:val="auto"/>
        </w:rPr>
        <w:t>by</w:t>
      </w:r>
    </w:p>
    <w:p>
      <w:pPr>
        <w:spacing w:after="0" w:line="319" w:lineRule="exact"/>
        <w:rPr>
          <w:sz w:val="20"/>
          <w:szCs w:val="20"/>
          <w:color w:val="auto"/>
        </w:rPr>
      </w:pPr>
    </w:p>
    <w:p>
      <w:pPr>
        <w:sectPr>
          <w:pgSz w:w="11920" w:h="16838" w:orient="portrait"/>
          <w:cols w:equalWidth="0" w:num="4">
            <w:col w:w="1460" w:space="120"/>
            <w:col w:w="2680" w:space="720"/>
            <w:col w:w="2420" w:space="40"/>
            <w:col w:w="1598"/>
          </w:cols>
          <w:pgMar w:left="1440" w:top="230" w:right="1440" w:bottom="1440" w:gutter="0" w:footer="0" w:header="0"/>
          <w:type w:val="continuous"/>
        </w:sect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69" w:lineRule="exact"/>
        <w:rPr>
          <w:sz w:val="20"/>
          <w:szCs w:val="20"/>
          <w:color w:val="auto"/>
        </w:rPr>
      </w:pPr>
    </w:p>
    <w:p>
      <w:pPr>
        <w:jc w:val="both"/>
        <w:ind w:left="1800" w:right="1398" w:hanging="136"/>
        <w:spacing w:after="0" w:line="251" w:lineRule="auto"/>
        <w:tabs>
          <w:tab w:leader="none" w:pos="1804" w:val="left"/>
        </w:tabs>
        <w:numPr>
          <w:ilvl w:val="0"/>
          <w:numId w:val="143"/>
        </w:numPr>
        <w:rPr>
          <w:rFonts w:ascii="Arial" w:cs="Arial" w:eastAsia="Arial" w:hAnsi="Arial"/>
          <w:sz w:val="11"/>
          <w:szCs w:val="11"/>
          <w:color w:val="auto"/>
        </w:rPr>
      </w:pPr>
      <w:r>
        <w:rPr>
          <w:rFonts w:ascii="Arial" w:cs="Arial" w:eastAsia="Arial" w:hAnsi="Arial"/>
          <w:sz w:val="14"/>
          <w:szCs w:val="14"/>
          <w:color w:val="auto"/>
        </w:rPr>
        <w:t>Fees for the transfer and registration of ordinary shares charged by the registrar and transfer agent for the ordinary shares in the Cayman Islands (i.e., upon deposit and withdrawal of ordinary shares).</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43"/>
        </w:numPr>
        <w:rPr>
          <w:rFonts w:ascii="Arial" w:cs="Arial" w:eastAsia="Arial" w:hAnsi="Arial"/>
          <w:sz w:val="11"/>
          <w:szCs w:val="11"/>
          <w:color w:val="auto"/>
        </w:rPr>
      </w:pPr>
      <w:r>
        <w:rPr>
          <w:rFonts w:ascii="Arial" w:cs="Arial" w:eastAsia="Arial" w:hAnsi="Arial"/>
          <w:sz w:val="14"/>
          <w:szCs w:val="14"/>
          <w:color w:val="auto"/>
        </w:rPr>
        <w:t>Expenses incurred for converting foreign currency into U.S. dollars.</w:t>
      </w:r>
    </w:p>
    <w:p>
      <w:pPr>
        <w:spacing w:after="0" w:line="108" w:lineRule="exact"/>
        <w:rPr>
          <w:rFonts w:ascii="Arial" w:cs="Arial" w:eastAsia="Arial" w:hAnsi="Arial"/>
          <w:sz w:val="11"/>
          <w:szCs w:val="11"/>
          <w:color w:val="auto"/>
        </w:rPr>
      </w:pPr>
    </w:p>
    <w:p>
      <w:pPr>
        <w:ind w:left="1800" w:hanging="136"/>
        <w:spacing w:after="0"/>
        <w:tabs>
          <w:tab w:leader="none" w:pos="1800" w:val="left"/>
        </w:tabs>
        <w:numPr>
          <w:ilvl w:val="0"/>
          <w:numId w:val="143"/>
        </w:numPr>
        <w:rPr>
          <w:rFonts w:ascii="Arial" w:cs="Arial" w:eastAsia="Arial" w:hAnsi="Arial"/>
          <w:sz w:val="11"/>
          <w:szCs w:val="11"/>
          <w:color w:val="auto"/>
        </w:rPr>
      </w:pPr>
      <w:r>
        <w:rPr>
          <w:rFonts w:ascii="Arial" w:cs="Arial" w:eastAsia="Arial" w:hAnsi="Arial"/>
          <w:sz w:val="14"/>
          <w:szCs w:val="14"/>
          <w:color w:val="auto"/>
        </w:rPr>
        <w:t>Expenses for cable, telex and fax transmissions and for delivery of securities.</w:t>
      </w:r>
    </w:p>
    <w:p>
      <w:pPr>
        <w:spacing w:after="0" w:line="98"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43"/>
        </w:numPr>
        <w:rPr>
          <w:rFonts w:ascii="Arial" w:cs="Arial" w:eastAsia="Arial" w:hAnsi="Arial"/>
          <w:sz w:val="11"/>
          <w:szCs w:val="11"/>
          <w:color w:val="auto"/>
        </w:rPr>
      </w:pPr>
      <w:r>
        <w:rPr>
          <w:rFonts w:ascii="Arial" w:cs="Arial" w:eastAsia="Arial" w:hAnsi="Arial"/>
          <w:sz w:val="14"/>
          <w:szCs w:val="14"/>
          <w:color w:val="auto"/>
        </w:rPr>
        <w:t>Taxes and duties upon the transfer of securities, including any applicable stamp duties, any stock transfer charges or withholding taxes (i.e., when ordinary shares are deposited or withdrawn from deposit).</w:t>
      </w:r>
    </w:p>
    <w:p>
      <w:pPr>
        <w:spacing w:after="0" w:line="7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3"/>
        </w:numPr>
        <w:rPr>
          <w:rFonts w:ascii="Arial" w:cs="Arial" w:eastAsia="Arial" w:hAnsi="Arial"/>
          <w:sz w:val="11"/>
          <w:szCs w:val="11"/>
          <w:color w:val="auto"/>
        </w:rPr>
      </w:pPr>
      <w:r>
        <w:rPr>
          <w:rFonts w:ascii="Arial" w:cs="Arial" w:eastAsia="Arial" w:hAnsi="Arial"/>
          <w:sz w:val="14"/>
          <w:szCs w:val="14"/>
          <w:color w:val="auto"/>
        </w:rPr>
        <w:t>Fees and expenses incurred in connection with the delivery or servicing of ordinary shares on deposit.</w:t>
      </w:r>
    </w:p>
    <w:p>
      <w:pPr>
        <w:spacing w:after="0" w:line="61"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43"/>
        </w:numPr>
        <w:rPr>
          <w:rFonts w:ascii="Arial" w:cs="Arial" w:eastAsia="Arial" w:hAnsi="Arial"/>
          <w:sz w:val="11"/>
          <w:szCs w:val="11"/>
          <w:color w:val="auto"/>
        </w:rPr>
      </w:pPr>
      <w:r>
        <w:rPr>
          <w:rFonts w:ascii="Arial" w:cs="Arial" w:eastAsia="Arial" w:hAnsi="Arial"/>
          <w:sz w:val="14"/>
          <w:szCs w:val="14"/>
          <w:color w:val="auto"/>
        </w:rPr>
        <w:t>Fees and expenses incurred in connection with complying with exchange control regulations and other regulatory requirements applicable to ordinary shares, deposited securities, ADSs and ADRs.</w:t>
      </w:r>
    </w:p>
    <w:p>
      <w:pPr>
        <w:spacing w:after="0" w:line="65" w:lineRule="exact"/>
        <w:rPr>
          <w:rFonts w:ascii="Arial" w:cs="Arial" w:eastAsia="Arial" w:hAnsi="Arial"/>
          <w:sz w:val="11"/>
          <w:szCs w:val="11"/>
          <w:color w:val="auto"/>
        </w:rPr>
      </w:pPr>
    </w:p>
    <w:p>
      <w:pPr>
        <w:ind w:left="1800" w:hanging="136"/>
        <w:spacing w:after="0"/>
        <w:tabs>
          <w:tab w:leader="none" w:pos="1800" w:val="left"/>
        </w:tabs>
        <w:numPr>
          <w:ilvl w:val="0"/>
          <w:numId w:val="143"/>
        </w:numPr>
        <w:rPr>
          <w:rFonts w:ascii="Arial" w:cs="Arial" w:eastAsia="Arial" w:hAnsi="Arial"/>
          <w:sz w:val="11"/>
          <w:szCs w:val="11"/>
          <w:color w:val="auto"/>
        </w:rPr>
      </w:pPr>
      <w:r>
        <w:rPr>
          <w:rFonts w:ascii="Arial" w:cs="Arial" w:eastAsia="Arial" w:hAnsi="Arial"/>
          <w:sz w:val="14"/>
          <w:szCs w:val="14"/>
          <w:color w:val="auto"/>
        </w:rPr>
        <w:t>Any applicable fees and penalties thereon.</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8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272" w:name="page273"/>
    <w:bookmarkEnd w:id="27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Payment of Taxes</w:t>
      </w:r>
    </w:p>
    <w:p>
      <w:pPr>
        <w:spacing w:after="0" w:line="10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Reclassifications, Recapitalizations and Mergers</w:t>
      </w:r>
    </w:p>
    <w:p>
      <w:pPr>
        <w:sectPr>
          <w:pgSz w:w="11920" w:h="16838" w:orient="portrait"/>
          <w:cols w:equalWidth="0" w:num="1">
            <w:col w:w="9038"/>
          </w:cols>
          <w:pgMar w:left="1440" w:top="230" w:right="1440" w:bottom="1440" w:gutter="0" w:footer="0" w:header="0"/>
        </w:sectPr>
      </w:pPr>
    </w:p>
    <w:p>
      <w:pPr>
        <w:spacing w:after="0" w:line="190" w:lineRule="exact"/>
        <w:rPr>
          <w:sz w:val="20"/>
          <w:szCs w:val="20"/>
          <w:color w:val="auto"/>
        </w:rPr>
      </w:pPr>
    </w:p>
    <w:p>
      <w:pPr>
        <w:ind w:left="1420"/>
        <w:spacing w:after="0"/>
        <w:rPr>
          <w:sz w:val="20"/>
          <w:szCs w:val="20"/>
          <w:color w:val="auto"/>
        </w:rPr>
      </w:pPr>
      <w:r>
        <w:rPr>
          <w:rFonts w:ascii="Arial" w:cs="Arial" w:eastAsia="Arial" w:hAnsi="Arial"/>
          <w:sz w:val="11"/>
          <w:szCs w:val="11"/>
          <w:b w:val="1"/>
          <w:bCs w:val="1"/>
          <w:color w:val="auto"/>
        </w:rPr>
        <w:t>If we:</w:t>
      </w:r>
    </w:p>
    <w:p>
      <w:pPr>
        <w:spacing w:after="0" w:line="31" w:lineRule="exact"/>
        <w:rPr>
          <w:sz w:val="20"/>
          <w:szCs w:val="20"/>
          <w:color w:val="auto"/>
        </w:rPr>
      </w:pPr>
    </w:p>
    <w:p>
      <w:pPr>
        <w:ind w:left="1560" w:right="60" w:hanging="137"/>
        <w:spacing w:after="0" w:line="271" w:lineRule="auto"/>
        <w:rPr>
          <w:sz w:val="20"/>
          <w:szCs w:val="20"/>
          <w:color w:val="auto"/>
        </w:rPr>
      </w:pPr>
      <w:r>
        <w:rPr>
          <w:rFonts w:ascii="Arial" w:cs="Arial" w:eastAsia="Arial" w:hAnsi="Arial"/>
          <w:sz w:val="14"/>
          <w:szCs w:val="14"/>
          <w:color w:val="auto"/>
        </w:rPr>
        <w:t>Change the nominal or par value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-224790</wp:posOffset>
            </wp:positionV>
            <wp:extent cx="192405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24050" cy="6350"/>
                    </a:xfrm>
                    <a:prstGeom prst="rect">
                      <a:avLst/>
                    </a:prstGeom>
                    <a:noFill/>
                  </pic:spPr>
                </pic:pic>
              </a:graphicData>
            </a:graphic>
          </wp:anchor>
        </w:drawing>
      </w:r>
    </w:p>
    <w:p>
      <w:pPr>
        <w:spacing w:after="0" w:line="73" w:lineRule="exact"/>
        <w:rPr>
          <w:sz w:val="20"/>
          <w:szCs w:val="20"/>
          <w:color w:val="auto"/>
        </w:rPr>
      </w:pPr>
    </w:p>
    <w:p>
      <w:pPr>
        <w:ind w:left="1560" w:right="320" w:hanging="137"/>
        <w:spacing w:after="0" w:line="271" w:lineRule="auto"/>
        <w:rPr>
          <w:sz w:val="20"/>
          <w:szCs w:val="20"/>
          <w:color w:val="auto"/>
        </w:rPr>
      </w:pPr>
      <w:r>
        <w:rPr>
          <w:rFonts w:ascii="Arial" w:cs="Arial" w:eastAsia="Arial" w:hAnsi="Arial"/>
          <w:sz w:val="14"/>
          <w:szCs w:val="14"/>
          <w:color w:val="auto"/>
        </w:rPr>
        <w:t>Reclassify, split up or consolidate any of the deposited securities</w:t>
      </w:r>
    </w:p>
    <w:p>
      <w:pPr>
        <w:spacing w:after="0" w:line="93" w:lineRule="exact"/>
        <w:rPr>
          <w:sz w:val="20"/>
          <w:szCs w:val="20"/>
          <w:color w:val="auto"/>
        </w:rPr>
      </w:pPr>
    </w:p>
    <w:p>
      <w:pPr>
        <w:ind w:left="1560" w:right="120" w:hanging="137"/>
        <w:spacing w:after="0" w:line="271" w:lineRule="auto"/>
        <w:rPr>
          <w:sz w:val="20"/>
          <w:szCs w:val="20"/>
          <w:color w:val="auto"/>
        </w:rPr>
      </w:pPr>
      <w:r>
        <w:rPr>
          <w:rFonts w:ascii="Arial" w:cs="Arial" w:eastAsia="Arial" w:hAnsi="Arial"/>
          <w:sz w:val="14"/>
          <w:szCs w:val="14"/>
          <w:color w:val="auto"/>
        </w:rPr>
        <w:t>Distribute securities on the ordinary shares that are not distributed to you, or</w:t>
      </w:r>
    </w:p>
    <w:p>
      <w:pPr>
        <w:spacing w:after="0" w:line="51" w:lineRule="exact"/>
        <w:rPr>
          <w:sz w:val="20"/>
          <w:szCs w:val="20"/>
          <w:color w:val="auto"/>
        </w:rPr>
      </w:pPr>
    </w:p>
    <w:p>
      <w:pPr>
        <w:ind w:left="1560" w:hanging="137"/>
        <w:spacing w:after="0" w:line="251" w:lineRule="auto"/>
        <w:rPr>
          <w:sz w:val="20"/>
          <w:szCs w:val="20"/>
          <w:color w:val="auto"/>
        </w:rPr>
      </w:pPr>
      <w:r>
        <w:rPr>
          <w:rFonts w:ascii="Arial" w:cs="Arial" w:eastAsia="Arial" w:hAnsi="Arial"/>
          <w:sz w:val="14"/>
          <w:szCs w:val="14"/>
          <w:color w:val="auto"/>
        </w:rPr>
        <w:t>Recapitalize, reorganize, merge, liquidate, sell all or substantially all of our assets, or take any similar action</w:t>
      </w:r>
    </w:p>
    <w:p>
      <w:pPr>
        <w:spacing w:after="0" w:line="15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Amendment and Termination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Then:</w:t>
      </w:r>
    </w:p>
    <w:p>
      <w:pPr>
        <w:spacing w:after="0" w:line="31" w:lineRule="exact"/>
        <w:rPr>
          <w:sz w:val="20"/>
          <w:szCs w:val="20"/>
          <w:color w:val="auto"/>
        </w:rPr>
      </w:pPr>
    </w:p>
    <w:p>
      <w:pPr>
        <w:jc w:val="both"/>
        <w:ind w:right="1398"/>
        <w:spacing w:after="0" w:line="271" w:lineRule="auto"/>
        <w:rPr>
          <w:sz w:val="20"/>
          <w:szCs w:val="20"/>
          <w:color w:val="auto"/>
        </w:rPr>
      </w:pPr>
      <w:r>
        <w:rPr>
          <w:rFonts w:ascii="Arial" w:cs="Arial" w:eastAsia="Arial" w:hAnsi="Arial"/>
          <w:sz w:val="14"/>
          <w:szCs w:val="14"/>
          <w:color w:val="auto"/>
        </w:rPr>
        <w:t>The cash, shares or other securities received by the depositary will become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198310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983105" cy="6350"/>
                    </a:xfrm>
                    <a:prstGeom prst="rect">
                      <a:avLst/>
                    </a:prstGeom>
                    <a:noFill/>
                  </pic:spPr>
                </pic:pic>
              </a:graphicData>
            </a:graphic>
          </wp:anchor>
        </w:drawing>
      </w:r>
    </w:p>
    <w:p>
      <w:pPr>
        <w:spacing w:after="0" w:line="73" w:lineRule="exact"/>
        <w:rPr>
          <w:sz w:val="20"/>
          <w:szCs w:val="20"/>
          <w:color w:val="auto"/>
        </w:rPr>
      </w:pPr>
    </w:p>
    <w:p>
      <w:pPr>
        <w:jc w:val="both"/>
        <w:ind w:right="1398"/>
        <w:spacing w:after="0" w:line="271" w:lineRule="auto"/>
        <w:rPr>
          <w:sz w:val="20"/>
          <w:szCs w:val="20"/>
          <w:color w:val="auto"/>
        </w:rPr>
      </w:pPr>
      <w:r>
        <w:rPr>
          <w:rFonts w:ascii="Arial" w:cs="Arial" w:eastAsia="Arial" w:hAnsi="Arial"/>
          <w:sz w:val="14"/>
          <w:szCs w:val="14"/>
          <w:color w:val="auto"/>
        </w:rPr>
        <w:t>Each ADS will automatically represent its equal share of the new deposited securities.</w:t>
      </w:r>
    </w:p>
    <w:p>
      <w:pPr>
        <w:spacing w:after="0" w:line="93" w:lineRule="exact"/>
        <w:rPr>
          <w:sz w:val="20"/>
          <w:szCs w:val="20"/>
          <w:color w:val="auto"/>
        </w:rPr>
      </w:pPr>
    </w:p>
    <w:p>
      <w:pPr>
        <w:jc w:val="both"/>
        <w:ind w:right="1398"/>
        <w:spacing w:after="0" w:line="241" w:lineRule="auto"/>
        <w:rPr>
          <w:sz w:val="20"/>
          <w:szCs w:val="20"/>
          <w:color w:val="auto"/>
        </w:rPr>
      </w:pPr>
      <w:r>
        <w:rPr>
          <w:rFonts w:ascii="Arial" w:cs="Arial" w:eastAsia="Arial" w:hAnsi="Arial"/>
          <w:sz w:val="14"/>
          <w:szCs w:val="14"/>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594" w:lineRule="exact"/>
        <w:rPr>
          <w:sz w:val="20"/>
          <w:szCs w:val="20"/>
          <w:color w:val="auto"/>
        </w:rPr>
      </w:pPr>
    </w:p>
    <w:p>
      <w:pPr>
        <w:sectPr>
          <w:pgSz w:w="11920" w:h="16838" w:orient="portrait"/>
          <w:cols w:equalWidth="0" w:num="2">
            <w:col w:w="4420" w:space="100"/>
            <w:col w:w="4518"/>
          </w:cols>
          <w:pgMar w:left="1440" w:top="230" w:right="1440" w:bottom="1440" w:gutter="0" w:footer="0" w:header="0"/>
          <w:type w:val="continuous"/>
        </w:sectPr>
      </w:pPr>
    </w:p>
    <w:p>
      <w:pPr>
        <w:ind w:left="1660"/>
        <w:spacing w:after="0"/>
        <w:rPr>
          <w:sz w:val="20"/>
          <w:szCs w:val="20"/>
          <w:color w:val="auto"/>
        </w:rPr>
      </w:pPr>
      <w:r>
        <w:rPr>
          <w:rFonts w:ascii="Arial" w:cs="Arial" w:eastAsia="Arial" w:hAnsi="Arial"/>
          <w:sz w:val="14"/>
          <w:szCs w:val="14"/>
          <w:b w:val="1"/>
          <w:bCs w:val="1"/>
          <w:i w:val="1"/>
          <w:iCs w:val="1"/>
          <w:color w:val="auto"/>
        </w:rPr>
        <w:t>How may the deposit agreement be amended?</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4"/>
          <w:szCs w:val="14"/>
          <w:i w:val="1"/>
          <w:iCs w:val="1"/>
          <w:color w:val="auto"/>
        </w:rPr>
        <w:t>At the time an amendment becomes effective, you are considered, by continuing to hold</w:t>
      </w:r>
      <w:r>
        <w:rPr>
          <w:rFonts w:ascii="Arial" w:cs="Arial" w:eastAsia="Arial" w:hAnsi="Arial"/>
          <w:sz w:val="14"/>
          <w:szCs w:val="14"/>
          <w:color w:val="auto"/>
        </w:rPr>
        <w:t xml:space="preserve"> </w:t>
      </w:r>
      <w:r>
        <w:rPr>
          <w:rFonts w:ascii="Arial" w:cs="Arial" w:eastAsia="Arial" w:hAnsi="Arial"/>
          <w:sz w:val="14"/>
          <w:szCs w:val="14"/>
          <w:i w:val="1"/>
          <w:iCs w:val="1"/>
          <w:color w:val="auto"/>
        </w:rPr>
        <w:t>your ADSs, to agree to the amendment and to be bound by the ADRs and the deposit agreement as amended</w:t>
      </w:r>
      <w:r>
        <w:rPr>
          <w:rFonts w:ascii="Arial" w:cs="Arial" w:eastAsia="Arial" w:hAnsi="Arial"/>
          <w:sz w:val="14"/>
          <w:szCs w:val="14"/>
          <w:color w:val="auto"/>
        </w:rPr>
        <w:t>. If any new laws are adopted which would require the deposit agreement to be amended in</w:t>
      </w:r>
      <w:r>
        <w:rPr>
          <w:rFonts w:ascii="Arial" w:cs="Arial" w:eastAsia="Arial" w:hAnsi="Arial"/>
          <w:sz w:val="14"/>
          <w:szCs w:val="14"/>
          <w:i w:val="1"/>
          <w:iCs w:val="1"/>
          <w:color w:val="auto"/>
        </w:rPr>
        <w:t xml:space="preserve"> </w:t>
      </w:r>
      <w:r>
        <w:rPr>
          <w:rFonts w:ascii="Arial" w:cs="Arial" w:eastAsia="Arial" w:hAnsi="Arial"/>
          <w:sz w:val="14"/>
          <w:szCs w:val="14"/>
          <w:color w:val="auto"/>
        </w:rPr>
        <w:t>order to comply therewith, we and the depositary may amend the deposit agreement in accordance with such laws and such amendment may become effective before notice thereof is given to ADS holders.</w:t>
      </w:r>
    </w:p>
    <w:p>
      <w:pPr>
        <w:spacing w:after="0" w:line="10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273" w:name="page274"/>
    <w:bookmarkEnd w:id="27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How may the deposit agreement be terminated?</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84"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3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Books of Depositary</w:t>
      </w:r>
    </w:p>
    <w:p>
      <w:pPr>
        <w:spacing w:after="0" w:line="10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6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depositary will maintain facilities in the Borough of Manhattan, The City of New York to record and process the issuance, cancellation, combination, split-up and transfer of ADRs.</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Limitations on Obligations and Liability</w:t>
      </w:r>
    </w:p>
    <w:p>
      <w:pPr>
        <w:spacing w:after="0" w:line="163" w:lineRule="exact"/>
        <w:rPr>
          <w:sz w:val="20"/>
          <w:szCs w:val="20"/>
          <w:color w:val="auto"/>
        </w:rPr>
      </w:pPr>
    </w:p>
    <w:p>
      <w:pPr>
        <w:ind w:left="1660" w:right="1398"/>
        <w:spacing w:after="0" w:line="277" w:lineRule="auto"/>
        <w:rPr>
          <w:sz w:val="20"/>
          <w:szCs w:val="20"/>
          <w:color w:val="auto"/>
        </w:rPr>
      </w:pPr>
      <w:r>
        <w:rPr>
          <w:rFonts w:ascii="Arial" w:cs="Arial" w:eastAsia="Arial" w:hAnsi="Arial"/>
          <w:sz w:val="14"/>
          <w:szCs w:val="14"/>
          <w:b w:val="1"/>
          <w:bCs w:val="1"/>
          <w:i w:val="1"/>
          <w:iCs w:val="1"/>
          <w:color w:val="auto"/>
        </w:rPr>
        <w:t>Limits on Our Obligations and the Obligations of the Depositary and the Custodian; Limits on Liability to Holders of ADSs</w:t>
      </w:r>
    </w:p>
    <w:p>
      <w:pPr>
        <w:spacing w:after="0" w:line="5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deposit agreement expressly limits our obligations and the obligations of the depositary and the custodian. It also limits our liability and the liability of the depositary. The depositary and the custodian:</w:t>
      </w:r>
    </w:p>
    <w:p>
      <w:pPr>
        <w:spacing w:after="0" w:line="66" w:lineRule="exact"/>
        <w:rPr>
          <w:sz w:val="20"/>
          <w:szCs w:val="20"/>
          <w:color w:val="auto"/>
        </w:rPr>
      </w:pPr>
    </w:p>
    <w:p>
      <w:pPr>
        <w:ind w:left="1800" w:right="1398" w:hanging="136"/>
        <w:spacing w:after="0" w:line="271" w:lineRule="auto"/>
        <w:tabs>
          <w:tab w:leader="none" w:pos="1804" w:val="left"/>
        </w:tabs>
        <w:numPr>
          <w:ilvl w:val="0"/>
          <w:numId w:val="144"/>
        </w:numPr>
        <w:rPr>
          <w:rFonts w:ascii="Arial" w:cs="Arial" w:eastAsia="Arial" w:hAnsi="Arial"/>
          <w:sz w:val="11"/>
          <w:szCs w:val="11"/>
          <w:color w:val="auto"/>
        </w:rPr>
      </w:pPr>
      <w:r>
        <w:rPr>
          <w:rFonts w:ascii="Arial" w:cs="Arial" w:eastAsia="Arial" w:hAnsi="Arial"/>
          <w:sz w:val="14"/>
          <w:szCs w:val="14"/>
          <w:color w:val="auto"/>
        </w:rPr>
        <w:t>are only obligated to take the actions specifically set forth in the deposit agreement without gross negligence or willful misconduct;</w:t>
      </w:r>
    </w:p>
    <w:p>
      <w:pPr>
        <w:spacing w:after="0" w:line="61" w:lineRule="exact"/>
        <w:rPr>
          <w:rFonts w:ascii="Arial" w:cs="Arial" w:eastAsia="Arial" w:hAnsi="Arial"/>
          <w:sz w:val="11"/>
          <w:szCs w:val="11"/>
          <w:color w:val="auto"/>
        </w:rPr>
      </w:pPr>
    </w:p>
    <w:p>
      <w:pPr>
        <w:jc w:val="both"/>
        <w:ind w:left="1800" w:right="1398" w:hanging="136"/>
        <w:spacing w:after="0" w:line="236" w:lineRule="auto"/>
        <w:tabs>
          <w:tab w:leader="none" w:pos="1783" w:val="left"/>
        </w:tabs>
        <w:numPr>
          <w:ilvl w:val="0"/>
          <w:numId w:val="144"/>
        </w:numPr>
        <w:rPr>
          <w:rFonts w:ascii="Arial" w:cs="Arial" w:eastAsia="Arial" w:hAnsi="Arial"/>
          <w:sz w:val="11"/>
          <w:szCs w:val="11"/>
          <w:color w:val="auto"/>
        </w:rPr>
      </w:pPr>
      <w:r>
        <w:rPr>
          <w:rFonts w:ascii="Arial" w:cs="Arial" w:eastAsia="Arial" w:hAnsi="Arial"/>
          <w:sz w:val="14"/>
          <w:szCs w:val="14"/>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4" w:name="page275"/>
    <w:bookmarkEnd w:id="27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51" w:lineRule="auto"/>
        <w:tabs>
          <w:tab w:leader="none" w:pos="1783" w:val="left"/>
        </w:tabs>
        <w:numPr>
          <w:ilvl w:val="0"/>
          <w:numId w:val="145"/>
        </w:numPr>
        <w:rPr>
          <w:rFonts w:ascii="Arial" w:cs="Arial" w:eastAsia="Arial" w:hAnsi="Arial"/>
          <w:sz w:val="11"/>
          <w:szCs w:val="11"/>
          <w:color w:val="auto"/>
        </w:rPr>
      </w:pPr>
      <w:r>
        <w:rPr>
          <w:rFonts w:ascii="Arial" w:cs="Arial" w:eastAsia="Arial" w:hAnsi="Arial"/>
          <w:sz w:val="14"/>
          <w:szCs w:val="14"/>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5"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79"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are not liable for the inability of any holder of ADSs to benefit from any distribution on deposited securities that is not made available to holders of ADSs under the terms of the deposit agreement;</w:t>
      </w:r>
    </w:p>
    <w:p>
      <w:pPr>
        <w:spacing w:after="0" w:line="6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are not liable for any special, consequential, indirect or punitive damages for any breach of the terms of the deposit agreement, or otherwise;</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may rely upon any documents we believe in good faith to be genuine and to have been signed or presented by the proper party;</w:t>
      </w:r>
    </w:p>
    <w:p>
      <w:pPr>
        <w:spacing w:after="0" w:line="61"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73"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45"/>
        </w:numPr>
        <w:rPr>
          <w:rFonts w:ascii="Arial" w:cs="Arial" w:eastAsia="Arial" w:hAnsi="Arial"/>
          <w:sz w:val="11"/>
          <w:szCs w:val="11"/>
          <w:color w:val="auto"/>
        </w:rPr>
      </w:pPr>
      <w:r>
        <w:rPr>
          <w:rFonts w:ascii="Arial" w:cs="Arial" w:eastAsia="Arial" w:hAnsi="Arial"/>
          <w:sz w:val="14"/>
          <w:szCs w:val="14"/>
          <w:color w:val="auto"/>
        </w:rPr>
        <w:t>disclaim any liability for inability of any holder to benefit from any distribution, offering, right or other benefit made available to holders of deposited securities but not made available to holders of ADS.</w:t>
      </w:r>
    </w:p>
    <w:p>
      <w:pPr>
        <w:spacing w:after="0" w:line="76"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8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In the deposit agreement, we agree to indemnify the depositary under certain circumstances.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Jurisdiction and Arbitration</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federal or state courts.</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5" w:name="page276"/>
    <w:bookmarkEnd w:id="27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Jury Trial Waiver</w:t>
      </w:r>
    </w:p>
    <w:p>
      <w:pPr>
        <w:spacing w:after="0" w:line="98" w:lineRule="exact"/>
        <w:rPr>
          <w:sz w:val="20"/>
          <w:szCs w:val="20"/>
          <w:color w:val="auto"/>
        </w:rPr>
      </w:pPr>
    </w:p>
    <w:p>
      <w:pPr>
        <w:jc w:val="both"/>
        <w:ind w:left="1420" w:right="1398" w:firstLine="249"/>
        <w:spacing w:after="0" w:line="259" w:lineRule="auto"/>
        <w:rPr>
          <w:sz w:val="20"/>
          <w:szCs w:val="20"/>
          <w:color w:val="auto"/>
        </w:rPr>
      </w:pPr>
      <w:r>
        <w:rPr>
          <w:rFonts w:ascii="Arial" w:cs="Arial" w:eastAsia="Arial" w:hAnsi="Arial"/>
          <w:sz w:val="13"/>
          <w:szCs w:val="13"/>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2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Requirements for Depositary Actions</w:t>
      </w:r>
    </w:p>
    <w:p>
      <w:pPr>
        <w:spacing w:after="0" w:line="10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Before the depositary will issue, deliver or register a transfer of an ADS, split-up, subdivide or combine ADSs, make a distribution on an ADS, or permit withdrawal of ordinary shares, the depositary may require:</w:t>
      </w:r>
    </w:p>
    <w:p>
      <w:pPr>
        <w:spacing w:after="0" w:line="76" w:lineRule="exact"/>
        <w:rPr>
          <w:sz w:val="20"/>
          <w:szCs w:val="20"/>
          <w:color w:val="auto"/>
        </w:rPr>
      </w:pPr>
    </w:p>
    <w:p>
      <w:pPr>
        <w:jc w:val="both"/>
        <w:ind w:left="1800" w:right="1398" w:hanging="136"/>
        <w:spacing w:after="0" w:line="245" w:lineRule="auto"/>
        <w:tabs>
          <w:tab w:leader="none" w:pos="1804" w:val="left"/>
        </w:tabs>
        <w:numPr>
          <w:ilvl w:val="0"/>
          <w:numId w:val="146"/>
        </w:numPr>
        <w:rPr>
          <w:rFonts w:ascii="Arial" w:cs="Arial" w:eastAsia="Arial" w:hAnsi="Arial"/>
          <w:sz w:val="11"/>
          <w:szCs w:val="11"/>
          <w:color w:val="auto"/>
        </w:rPr>
      </w:pPr>
      <w:r>
        <w:rPr>
          <w:rFonts w:ascii="Arial" w:cs="Arial" w:eastAsia="Arial" w:hAnsi="Arial"/>
          <w:sz w:val="14"/>
          <w:szCs w:val="14"/>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6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6"/>
        </w:numPr>
        <w:rPr>
          <w:rFonts w:ascii="Arial" w:cs="Arial" w:eastAsia="Arial" w:hAnsi="Arial"/>
          <w:sz w:val="11"/>
          <w:szCs w:val="11"/>
          <w:color w:val="auto"/>
        </w:rPr>
      </w:pPr>
      <w:r>
        <w:rPr>
          <w:rFonts w:ascii="Arial" w:cs="Arial" w:eastAsia="Arial" w:hAnsi="Arial"/>
          <w:sz w:val="14"/>
          <w:szCs w:val="14"/>
          <w:color w:val="auto"/>
        </w:rPr>
        <w:t>satisfactory proof of the identity and genuineness of any signature or any other matters contemplated in the deposit agreement; and</w:t>
      </w:r>
    </w:p>
    <w:p>
      <w:pPr>
        <w:spacing w:after="0" w:line="61"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146"/>
        </w:numPr>
        <w:rPr>
          <w:rFonts w:ascii="Arial" w:cs="Arial" w:eastAsia="Arial" w:hAnsi="Arial"/>
          <w:sz w:val="11"/>
          <w:szCs w:val="11"/>
          <w:color w:val="auto"/>
        </w:rPr>
      </w:pPr>
      <w:r>
        <w:rPr>
          <w:rFonts w:ascii="Arial" w:cs="Arial" w:eastAsia="Arial" w:hAnsi="Arial"/>
          <w:sz w:val="14"/>
          <w:szCs w:val="14"/>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2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Your Right to Receive the Shares Underlying Your ADSs</w:t>
      </w:r>
    </w:p>
    <w:p>
      <w:pPr>
        <w:spacing w:after="0" w:line="98"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You have the right to cancel your ADSs and withdraw the underlying ordinary shares at any time except:</w:t>
      </w:r>
    </w:p>
    <w:p>
      <w:pPr>
        <w:spacing w:after="0" w:line="62" w:lineRule="exact"/>
        <w:rPr>
          <w:sz w:val="20"/>
          <w:szCs w:val="20"/>
          <w:color w:val="auto"/>
        </w:rPr>
      </w:pPr>
    </w:p>
    <w:p>
      <w:pPr>
        <w:jc w:val="both"/>
        <w:ind w:left="1800" w:right="1398" w:hanging="136"/>
        <w:spacing w:after="0" w:line="251" w:lineRule="auto"/>
        <w:tabs>
          <w:tab w:leader="none" w:pos="1804" w:val="left"/>
        </w:tabs>
        <w:numPr>
          <w:ilvl w:val="0"/>
          <w:numId w:val="147"/>
        </w:numPr>
        <w:rPr>
          <w:rFonts w:ascii="Arial" w:cs="Arial" w:eastAsia="Arial" w:hAnsi="Arial"/>
          <w:sz w:val="11"/>
          <w:szCs w:val="11"/>
          <w:color w:val="auto"/>
        </w:rPr>
      </w:pPr>
      <w:r>
        <w:rPr>
          <w:rFonts w:ascii="Arial" w:cs="Arial" w:eastAsia="Arial" w:hAnsi="Arial"/>
          <w:sz w:val="14"/>
          <w:szCs w:val="14"/>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75" w:lineRule="exact"/>
        <w:rPr>
          <w:rFonts w:ascii="Arial" w:cs="Arial" w:eastAsia="Arial" w:hAnsi="Arial"/>
          <w:sz w:val="11"/>
          <w:szCs w:val="11"/>
          <w:color w:val="auto"/>
        </w:rPr>
      </w:pPr>
    </w:p>
    <w:p>
      <w:pPr>
        <w:ind w:left="1800" w:hanging="136"/>
        <w:spacing w:after="0"/>
        <w:tabs>
          <w:tab w:leader="none" w:pos="1800" w:val="left"/>
        </w:tabs>
        <w:numPr>
          <w:ilvl w:val="0"/>
          <w:numId w:val="147"/>
        </w:numPr>
        <w:rPr>
          <w:rFonts w:ascii="Arial" w:cs="Arial" w:eastAsia="Arial" w:hAnsi="Arial"/>
          <w:sz w:val="11"/>
          <w:szCs w:val="11"/>
          <w:color w:val="auto"/>
        </w:rPr>
      </w:pPr>
      <w:r>
        <w:rPr>
          <w:rFonts w:ascii="Arial" w:cs="Arial" w:eastAsia="Arial" w:hAnsi="Arial"/>
          <w:sz w:val="14"/>
          <w:szCs w:val="14"/>
          <w:color w:val="auto"/>
        </w:rPr>
        <w:t>when you owe money to pay fees, taxes and similar charges;</w:t>
      </w:r>
    </w:p>
    <w:p>
      <w:pPr>
        <w:spacing w:after="0" w:line="98" w:lineRule="exact"/>
        <w:rPr>
          <w:rFonts w:ascii="Arial" w:cs="Arial" w:eastAsia="Arial" w:hAnsi="Arial"/>
          <w:sz w:val="11"/>
          <w:szCs w:val="11"/>
          <w:color w:val="auto"/>
        </w:rPr>
      </w:pPr>
    </w:p>
    <w:p>
      <w:pPr>
        <w:jc w:val="both"/>
        <w:ind w:left="1800" w:right="1398" w:hanging="136"/>
        <w:spacing w:after="0" w:line="245" w:lineRule="auto"/>
        <w:tabs>
          <w:tab w:leader="none" w:pos="1804" w:val="left"/>
        </w:tabs>
        <w:numPr>
          <w:ilvl w:val="0"/>
          <w:numId w:val="147"/>
        </w:numPr>
        <w:rPr>
          <w:rFonts w:ascii="Arial" w:cs="Arial" w:eastAsia="Arial" w:hAnsi="Arial"/>
          <w:sz w:val="11"/>
          <w:szCs w:val="11"/>
          <w:color w:val="auto"/>
        </w:rPr>
      </w:pPr>
      <w:r>
        <w:rPr>
          <w:rFonts w:ascii="Arial" w:cs="Arial" w:eastAsia="Arial" w:hAnsi="Arial"/>
          <w:sz w:val="14"/>
          <w:szCs w:val="14"/>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I.A.(l) of the General Instructions to Form F-6 (as such General Instructions may be amended from time to time); or</w:t>
      </w:r>
    </w:p>
    <w:p>
      <w:pPr>
        <w:spacing w:after="0" w:line="79"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7"/>
        </w:numPr>
        <w:rPr>
          <w:rFonts w:ascii="Arial" w:cs="Arial" w:eastAsia="Arial" w:hAnsi="Arial"/>
          <w:sz w:val="11"/>
          <w:szCs w:val="11"/>
          <w:color w:val="auto"/>
        </w:rPr>
      </w:pPr>
      <w:r>
        <w:rPr>
          <w:rFonts w:ascii="Arial" w:cs="Arial" w:eastAsia="Arial" w:hAnsi="Arial"/>
          <w:sz w:val="14"/>
          <w:szCs w:val="14"/>
          <w:color w:val="auto"/>
        </w:rPr>
        <w:t>for any other reason if the depositary or we determine, in good faith, that it is necessary or advisable to prohibit withdrawals.</w:t>
      </w:r>
    </w:p>
    <w:p>
      <w:pPr>
        <w:spacing w:after="0" w:line="62"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66" w:lineRule="exact"/>
        <w:rPr>
          <w:sz w:val="20"/>
          <w:szCs w:val="20"/>
          <w:color w:val="auto"/>
        </w:rPr>
      </w:pPr>
    </w:p>
    <w:p>
      <w:pPr>
        <w:jc w:val="center"/>
        <w:ind w:right="138"/>
        <w:spacing w:after="0"/>
        <w:rPr>
          <w:sz w:val="20"/>
          <w:szCs w:val="20"/>
          <w:color w:val="auto"/>
        </w:rPr>
      </w:pPr>
      <w:r>
        <w:rPr>
          <w:rFonts w:ascii="Arial" w:cs="Arial" w:eastAsia="Arial" w:hAnsi="Arial"/>
          <w:sz w:val="14"/>
          <w:szCs w:val="14"/>
          <w:color w:val="auto"/>
        </w:rPr>
        <w:t>This right of withdrawal may not be limited by any other provision of the deposit agreement.</w:t>
      </w:r>
    </w:p>
    <w:p>
      <w:pPr>
        <w:spacing w:after="0" w:line="14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6" w:name="page277"/>
    <w:bookmarkEnd w:id="27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Direct Registration System</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7" w:name="page278"/>
    <w:bookmarkEnd w:id="27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SHARES ELIGIBLE FOR FUTURE SALE</w:t>
      </w:r>
    </w:p>
    <w:p>
      <w:pPr>
        <w:spacing w:after="0" w:line="57"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Upon completion of this offering, we will have 3,000,000 ADSs outstanding, representing 60,000,000 ordinary shares, or approximately 6.0%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and while the ADSs have been approved for listing on the Nasdaq, we cannot assure you that a regular trading market will develop in the ADSs. We do not expect that a trading market will develop for our ordinary shares not represented by the ADSs.</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Lock-up Agreements</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our directors, executive officers and our existing shareholders have agreed, subject to certain exceptions, not to transfer or dispose of, directly or indirectly, any of our ordinary shares or ADSs, or any securities convertible into or exchangeable or exercisable for our ordinary shares or ADSs,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10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Rule 144</w:t>
      </w:r>
    </w:p>
    <w:p>
      <w:pPr>
        <w:spacing w:after="0" w:line="6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45"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Our affiliates may sell within any three-month period a number of restricted shares that does not exceed the greater of the following:</w:t>
      </w:r>
    </w:p>
    <w:p>
      <w:pPr>
        <w:spacing w:after="0" w:line="10" w:lineRule="exact"/>
        <w:rPr>
          <w:sz w:val="20"/>
          <w:szCs w:val="20"/>
          <w:color w:val="auto"/>
        </w:rPr>
      </w:pPr>
    </w:p>
    <w:p>
      <w:pPr>
        <w:jc w:val="both"/>
        <w:ind w:left="1800" w:right="1398" w:hanging="136"/>
        <w:spacing w:after="0" w:line="245" w:lineRule="auto"/>
        <w:tabs>
          <w:tab w:leader="none" w:pos="1804" w:val="left"/>
        </w:tabs>
        <w:numPr>
          <w:ilvl w:val="0"/>
          <w:numId w:val="148"/>
        </w:numPr>
        <w:rPr>
          <w:rFonts w:ascii="Arial" w:cs="Arial" w:eastAsia="Arial" w:hAnsi="Arial"/>
          <w:sz w:val="11"/>
          <w:szCs w:val="11"/>
          <w:color w:val="auto"/>
        </w:rPr>
      </w:pPr>
      <w:r>
        <w:rPr>
          <w:rFonts w:ascii="Arial" w:cs="Arial" w:eastAsia="Arial" w:hAnsi="Arial"/>
          <w:sz w:val="14"/>
          <w:szCs w:val="14"/>
          <w:color w:val="auto"/>
        </w:rPr>
        <w:t>1% of the then outstanding ordinary shares of the same class, in the form of ADSs or otherwise, which will equal approximately 10,014,498 Class A ordinary shares immediately after this offering, assuming the underwriters do not exercise their option to purchase additional ADSs; or</w:t>
      </w:r>
    </w:p>
    <w:p>
      <w:pPr>
        <w:spacing w:after="0" w:line="37"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48"/>
        </w:numPr>
        <w:rPr>
          <w:rFonts w:ascii="Arial" w:cs="Arial" w:eastAsia="Arial" w:hAnsi="Arial"/>
          <w:sz w:val="11"/>
          <w:szCs w:val="11"/>
          <w:color w:val="auto"/>
        </w:rPr>
      </w:pPr>
      <w:r>
        <w:rPr>
          <w:rFonts w:ascii="Arial" w:cs="Arial" w:eastAsia="Arial" w:hAnsi="Arial"/>
          <w:sz w:val="14"/>
          <w:szCs w:val="14"/>
          <w:color w:val="auto"/>
        </w:rPr>
        <w:t>the average weekly trading volume of our ordinary shares in the form of ADSs or otherwise on the Nasdaq during the four calendar weeks preceding the date on which notice of the sale is filed with the SEC.</w:t>
      </w:r>
    </w:p>
    <w:p>
      <w:pPr>
        <w:spacing w:after="0" w:line="3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2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Rule 701</w:t>
      </w:r>
    </w:p>
    <w:p>
      <w:pPr>
        <w:spacing w:after="0" w:line="6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general, under Rule 701 of the Securities Act as currently in effect, each of our executive officers, employees and consultants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8" w:name="page279"/>
    <w:bookmarkEnd w:id="27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Form S-8</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intend to file a registration statement on Form S-8 under the Securities Act covering all ordinary shares which are either subject to outstanding options or may be issued upon exercise or vesting of any options or other equity awards which may be granted or issued in the future pursuant to our share incentive plan. We expect to file this registration statement as soon as practicable after the date of this prospectus. Shares registered under any registration statements will be available for sale in the open market, except to the extent that the shares are subject to vesting restrictions with us or the contractual restrictions and the lock-up described below.</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79" w:name="page280"/>
    <w:bookmarkEnd w:id="27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TAXATION</w:t>
      </w:r>
    </w:p>
    <w:p>
      <w:pPr>
        <w:spacing w:after="0" w:line="100"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Maples and Calder (Hong Kong) LLP, our Cayman Islands counsel. To the extent that the discussion relates to matters of PRC tax law, it represents the opinion of Haiwen &amp; Partners, our PRC legal advisor.</w:t>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Cayman Islands Taxation</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People’s Republic of China Taxation</w:t>
      </w:r>
    </w:p>
    <w:p>
      <w:pPr>
        <w:spacing w:after="0" w:line="9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spacing w:after="0" w:line="8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addition, the SAT Circular 82 issued by the SAT in April 2009 specifies that certain offshore incorporated enterprises controlled by PRC enterprises or PRC enterprise groups will be classified as PRC resident enterprises only if all of the following conditions are met: (a) the primary location of the day-to-day operational management is in the PRC; (b) decisions relating to the enterprise’s financial and human resource matters are made or are subject to approval by organizations or personnel in the PRC; (c) the enterprise’s primary assets, accounting books and records, company seals, and board and shareholder resolutions are located or maintained in the PRC; and (d) at least 50% of voting board members or senior executives habitually reside in the PRC. Further to SAT Circular 82, the SAT issued the SAT Bulletin 45, which took effect in September 2011 and last amended on June 2018,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w:t>
      </w:r>
    </w:p>
    <w:p>
      <w:pPr>
        <w:spacing w:after="0" w:line="108"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0" w:name="page281"/>
    <w:bookmarkEnd w:id="28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3" w:lineRule="auto"/>
        <w:rPr>
          <w:sz w:val="20"/>
          <w:szCs w:val="20"/>
          <w:color w:val="auto"/>
        </w:rPr>
      </w:pPr>
      <w:r>
        <w:rPr>
          <w:rFonts w:ascii="Arial" w:cs="Arial" w:eastAsia="Arial" w:hAnsi="Arial"/>
          <w:sz w:val="13"/>
          <w:szCs w:val="13"/>
          <w:color w:val="auto"/>
        </w:rPr>
        <w:t>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sale or other disposition of ADSs or ordinary shares by such shareholders may be subject to PRC tax at a rate of 20% (which, in the case of dividends, may be withheld at source by us). These rates may be reduced by an applicable tax treaty, but it is unclear whether non -PRC shareholders (including the ADS holders) of our company would be able to obtain the benefits of any tax treaties between their country of tax residence and the PRC in the event that we are treated as a PRC resident enterprise. See “Risk Factors — Risks Related to Doing Business in China — If we are classified as a PRC resident enterprise for PRC enterprise income tax purposes, such classification could result in unfavorable tax consequences to us and our non-PRC shareholders and ADS holders.”</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Certain U.S. Federal Income Tax Considerations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following are material U.S. federal income tax consequences to you, if you are a U.S. Holder described below, of owning and disposing of our ADSs and or Class A ordinary shares, but this discussion does not purport to be a comprehensive description of all of the tax considerations that may be relevant to your decision to acquire our ADSs or Class A ordinary shares. The following applies to you only if you acquire your ADSs in this offering and hold the ADSs or underlying Class A ordinary shares as capital assets for U.S. federal income tax purposes. In addition, it does not describe all of the tax consequences that may be relevant in light of your particular circumstances, including any minimum tax or Medicare contribution tax consequences, and tax consequences applicable to you if you are subject to special rules, for example if you are:</w:t>
      </w:r>
    </w:p>
    <w:p>
      <w:pPr>
        <w:spacing w:after="0" w:line="63" w:lineRule="exact"/>
        <w:rPr>
          <w:sz w:val="20"/>
          <w:szCs w:val="20"/>
          <w:color w:val="auto"/>
        </w:rPr>
      </w:pPr>
    </w:p>
    <w:p>
      <w:pPr>
        <w:ind w:left="1800" w:hanging="136"/>
        <w:spacing w:after="0"/>
        <w:tabs>
          <w:tab w:leader="none" w:pos="1800"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financial institution;</w:t>
      </w:r>
    </w:p>
    <w:p>
      <w:pPr>
        <w:spacing w:after="0" w:line="88" w:lineRule="exact"/>
        <w:rPr>
          <w:rFonts w:ascii="Arial" w:cs="Arial" w:eastAsia="Arial" w:hAnsi="Arial"/>
          <w:sz w:val="11"/>
          <w:szCs w:val="11"/>
          <w:color w:val="auto"/>
        </w:rPr>
      </w:pPr>
    </w:p>
    <w:p>
      <w:pPr>
        <w:ind w:left="1800" w:hanging="136"/>
        <w:spacing w:after="0"/>
        <w:tabs>
          <w:tab w:leader="none" w:pos="1800"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dealer or trader in securities that uses a mark-to-market method of tax accounting;</w:t>
      </w:r>
    </w:p>
    <w:p>
      <w:pPr>
        <w:spacing w:after="0" w:line="9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person that holds ADSs or Class A ordinary shares as part of a straddle, integrated transaction or similar transaction;</w:t>
      </w:r>
    </w:p>
    <w:p>
      <w:pPr>
        <w:spacing w:after="0" w:line="41" w:lineRule="exact"/>
        <w:rPr>
          <w:rFonts w:ascii="Arial" w:cs="Arial" w:eastAsia="Arial" w:hAnsi="Arial"/>
          <w:sz w:val="11"/>
          <w:szCs w:val="11"/>
          <w:color w:val="auto"/>
        </w:rPr>
      </w:pPr>
    </w:p>
    <w:p>
      <w:pPr>
        <w:ind w:left="1800" w:hanging="136"/>
        <w:spacing w:after="0"/>
        <w:tabs>
          <w:tab w:leader="none" w:pos="1800" w:val="left"/>
        </w:tabs>
        <w:numPr>
          <w:ilvl w:val="0"/>
          <w:numId w:val="149"/>
        </w:numPr>
        <w:rPr>
          <w:rFonts w:ascii="Arial" w:cs="Arial" w:eastAsia="Arial" w:hAnsi="Arial"/>
          <w:sz w:val="10"/>
          <w:szCs w:val="10"/>
          <w:color w:val="auto"/>
        </w:rPr>
      </w:pPr>
      <w:r>
        <w:rPr>
          <w:rFonts w:ascii="Arial" w:cs="Arial" w:eastAsia="Arial" w:hAnsi="Arial"/>
          <w:sz w:val="13"/>
          <w:szCs w:val="13"/>
          <w:color w:val="auto"/>
        </w:rPr>
        <w:t>a person whose functional currency for U.S. federal income tax purposes is not the U.S. dollar;</w:t>
      </w:r>
    </w:p>
    <w:p>
      <w:pPr>
        <w:spacing w:after="0" w:line="99" w:lineRule="exact"/>
        <w:rPr>
          <w:rFonts w:ascii="Arial" w:cs="Arial" w:eastAsia="Arial" w:hAnsi="Arial"/>
          <w:sz w:val="10"/>
          <w:szCs w:val="10"/>
          <w:color w:val="auto"/>
        </w:rPr>
      </w:pPr>
    </w:p>
    <w:p>
      <w:pPr>
        <w:ind w:left="1800" w:right="1398" w:hanging="136"/>
        <w:spacing w:after="0" w:line="271" w:lineRule="auto"/>
        <w:tabs>
          <w:tab w:leader="none" w:pos="1804"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partnership or other entity classified as a partnership for U.S. federal income tax purposes or a partner or investor therein;</w:t>
      </w:r>
    </w:p>
    <w:p>
      <w:pPr>
        <w:spacing w:after="0" w:line="51" w:lineRule="exact"/>
        <w:rPr>
          <w:rFonts w:ascii="Arial" w:cs="Arial" w:eastAsia="Arial" w:hAnsi="Arial"/>
          <w:sz w:val="11"/>
          <w:szCs w:val="11"/>
          <w:color w:val="auto"/>
        </w:rPr>
      </w:pPr>
    </w:p>
    <w:p>
      <w:pPr>
        <w:ind w:left="1800" w:hanging="136"/>
        <w:spacing w:after="0"/>
        <w:tabs>
          <w:tab w:leader="none" w:pos="1800"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tax-exempt entity, an “individual retirement account” or a “Roth IRA”;</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person that owns or is deemed to own ADSs or Class A ordinary shares representing ten percent or more of our stock by vote or value; or</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49"/>
        </w:numPr>
        <w:rPr>
          <w:rFonts w:ascii="Arial" w:cs="Arial" w:eastAsia="Arial" w:hAnsi="Arial"/>
          <w:sz w:val="11"/>
          <w:szCs w:val="11"/>
          <w:color w:val="auto"/>
        </w:rPr>
      </w:pPr>
      <w:r>
        <w:rPr>
          <w:rFonts w:ascii="Arial" w:cs="Arial" w:eastAsia="Arial" w:hAnsi="Arial"/>
          <w:sz w:val="14"/>
          <w:szCs w:val="14"/>
          <w:color w:val="auto"/>
        </w:rPr>
        <w:t>a person that holds ADSs or Class A ordinary shares in connection with a trade or business conducted outside of the United States.</w:t>
      </w:r>
    </w:p>
    <w:p>
      <w:pPr>
        <w:spacing w:after="0" w:line="5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If you are a partnership (or other entity that is classified as a partnership for U.S. federal income tax purposes) and you own ADSs or Class A ordinary shares, the U.S. federal income tax treatment of your partners will generally depend on the status of the relevant partners and your activities. If you are a partnership or a partner in a partnership, you should consult your tax adviser as to the particular U.S. federal income tax consequences to you of owning and disposing of ADSs or Class A ordinary shares.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1" w:name="page282"/>
    <w:bookmarkEnd w:id="28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This discussion is based on the Internal Revenue Code of 1986, as amended (the “Code”), administrative pronouncements, judicial decisions, final, temporary and proposed Treasury regulations and the U.S.-PRC income tax treaty (the “Treaty”), all as of the date hereof and all of which are subject to change, possibly with retroactive effect.</w:t>
      </w:r>
    </w:p>
    <w:p>
      <w:pPr>
        <w:spacing w:after="0" w:line="5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For purposes of this discussion, you are a “U.S. Holder” if, for U.S. federal income tax purposes, you are a beneficial owner of ADSs or Class A ordinary shares and:</w:t>
      </w:r>
    </w:p>
    <w:p>
      <w:pPr>
        <w:spacing w:after="0" w:line="51" w:lineRule="exact"/>
        <w:rPr>
          <w:sz w:val="20"/>
          <w:szCs w:val="20"/>
          <w:color w:val="auto"/>
        </w:rPr>
      </w:pPr>
    </w:p>
    <w:p>
      <w:pPr>
        <w:ind w:left="1800" w:hanging="136"/>
        <w:spacing w:after="0"/>
        <w:tabs>
          <w:tab w:leader="none" w:pos="1800" w:val="left"/>
        </w:tabs>
        <w:numPr>
          <w:ilvl w:val="0"/>
          <w:numId w:val="150"/>
        </w:numPr>
        <w:rPr>
          <w:rFonts w:ascii="Arial" w:cs="Arial" w:eastAsia="Arial" w:hAnsi="Arial"/>
          <w:sz w:val="11"/>
          <w:szCs w:val="11"/>
          <w:color w:val="auto"/>
        </w:rPr>
      </w:pPr>
      <w:r>
        <w:rPr>
          <w:rFonts w:ascii="Arial" w:cs="Arial" w:eastAsia="Arial" w:hAnsi="Arial"/>
          <w:sz w:val="14"/>
          <w:szCs w:val="14"/>
          <w:color w:val="auto"/>
        </w:rPr>
        <w:t>a citizen or individual resident of the United States;</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50"/>
        </w:numPr>
        <w:rPr>
          <w:rFonts w:ascii="Arial" w:cs="Arial" w:eastAsia="Arial" w:hAnsi="Arial"/>
          <w:sz w:val="11"/>
          <w:szCs w:val="11"/>
          <w:color w:val="auto"/>
        </w:rPr>
      </w:pPr>
      <w:r>
        <w:rPr>
          <w:rFonts w:ascii="Arial" w:cs="Arial" w:eastAsia="Arial" w:hAnsi="Arial"/>
          <w:sz w:val="14"/>
          <w:szCs w:val="14"/>
          <w:color w:val="auto"/>
        </w:rPr>
        <w:t>a corporation, or other entity taxable as a corporation, created or organized in or under the laws of the United States, any state therein or the District of Columbia; or</w:t>
      </w:r>
    </w:p>
    <w:p>
      <w:pPr>
        <w:spacing w:after="0" w:line="4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50"/>
        </w:numPr>
        <w:rPr>
          <w:rFonts w:ascii="Arial" w:cs="Arial" w:eastAsia="Arial" w:hAnsi="Arial"/>
          <w:sz w:val="11"/>
          <w:szCs w:val="11"/>
          <w:color w:val="auto"/>
        </w:rPr>
      </w:pPr>
      <w:r>
        <w:rPr>
          <w:rFonts w:ascii="Arial" w:cs="Arial" w:eastAsia="Arial" w:hAnsi="Arial"/>
          <w:sz w:val="14"/>
          <w:szCs w:val="14"/>
          <w:color w:val="auto"/>
        </w:rPr>
        <w:t>an estate or trust the income of which is subject to U.S. federal income taxation regardless of its source.</w:t>
      </w:r>
    </w:p>
    <w:p>
      <w:pPr>
        <w:spacing w:after="0" w:line="41"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ADSs or Class A ordinary shares in your particular circumstances.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Taxation of Distributions</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is subject to the discussion under “— Passive Foreign Investment Company Rules” below.</w:t>
      </w:r>
    </w:p>
    <w:p>
      <w:pPr>
        <w:spacing w:after="0" w:line="3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Distributions paid on the ADSs or Class A ordinary shares, other than certain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distributions of ADSs or Class A ordinary shares, will generally be treated as dividends to the extent paid out of our current or accumulated earnings and profits, as determined under U.S. federal income tax principles. Because we do not maintain calculations of earnings and profits under U.S. federal income tax principles, it is expected that distributions generally will be reported to you as dividends. Dividends will not be eligible for any dividends-received deduction. Subject to applicable limitations, dividends paid to certain non-corporate U.S. Holders of ADSs may be taxable at a preferential rate. If you are a non-corporate U.S. Holder, you should consult your tax adviser regarding the availability of this preferential tax rate on dividends in your particular circumstances.</w:t>
      </w:r>
    </w:p>
    <w:p>
      <w:pPr>
        <w:spacing w:after="0" w:line="53"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Dividends will be included in your income on the date of receipt by the depositary (in the case of ADSs) or you (in the case of the Class A ordinary shares). The amount of income from dividends paid on Class A ordinary shares in foreign currency will be the U.S. dollar amount of the dividend calculated by reference to the spot rate of exchange in effect on the date of receipt, regardless of whether the payment is in fact converted into U.S. dollars.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 Foreign currency gain or loss generally will be treated as U.S.-source gain or loss.</w:t>
      </w:r>
    </w:p>
    <w:p>
      <w:pPr>
        <w:spacing w:after="0" w:line="53"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For purposes of the foreign tax credit rules, dividends will be treated as foreign-source income. As described in “Taxation — People’s Republic of China Taxation,” if we are deemed to be a “resident enterprise” under PRC tax law, dividends paid by us may be subject to PRC withholding tax. For U.S. federal income tax purposes, the amount of dividend income will include any amounts withheld in respect of PRC taxes. Subject to applicable limitations that vary depending on your particular circumstances and the discussion below regarding certain Treasury regulations, PRC taxes withheld from dividend payments (at a rate not exceeding the applicable rate provided in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2" w:name="page283"/>
    <w:bookmarkEnd w:id="28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78" w:lineRule="exact"/>
        <w:rPr>
          <w:sz w:val="20"/>
          <w:szCs w:val="20"/>
          <w:color w:val="auto"/>
        </w:rPr>
      </w:pPr>
    </w:p>
    <w:p>
      <w:pPr>
        <w:jc w:val="both"/>
        <w:ind w:left="1420" w:right="1398"/>
        <w:spacing w:after="0" w:line="236" w:lineRule="auto"/>
        <w:rPr>
          <w:sz w:val="20"/>
          <w:szCs w:val="20"/>
          <w:color w:val="auto"/>
        </w:rPr>
      </w:pPr>
      <w:r>
        <w:rPr>
          <w:rFonts w:ascii="Arial" w:cs="Arial" w:eastAsia="Arial" w:hAnsi="Arial"/>
          <w:sz w:val="14"/>
          <w:szCs w:val="14"/>
          <w:color w:val="auto"/>
        </w:rPr>
        <w:t>must be consistent with certain U.S. federal income tax principles, and we have not determined whether the PRC income tax system meets this requirement. The U.S. Internal Revenue Service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credit, you may be able to elect to deduct non-U.S. income taxes, including PRC taxes, in computing your taxable income, subject to applicable limitations. An election to deduct non-U.S. taxes instead of claiming foreign tax credits applies to all otherwise creditable non-U.S. taxes paid or accrued in the taxable year. You should consult your own tax adviser regarding the availability of foreign tax credits in your particular circumstances.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Sale or Other Taxable Disposition of ADSs or Class A Ordinary Shares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is subject to the discussion under “— Passive Foreign Investment Company Rules” below.</w:t>
      </w:r>
    </w:p>
    <w:p>
      <w:pPr>
        <w:spacing w:after="0" w:line="4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You generally will recognize capital gain or loss on the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held the ADSs or Class A ordinary shares for more than one year. Long-term capital gains recognized by non-corporate U.S. Holders may be subject to tax rates that are lower than those applicable to ordinary income. The deductibility of capital losses is subject to limitations.</w:t>
      </w:r>
    </w:p>
    <w:p>
      <w:pPr>
        <w:spacing w:after="0" w:line="77" w:lineRule="exact"/>
        <w:rPr>
          <w:sz w:val="20"/>
          <w:szCs w:val="20"/>
          <w:color w:val="auto"/>
        </w:rPr>
      </w:pPr>
    </w:p>
    <w:p>
      <w:pPr>
        <w:jc w:val="both"/>
        <w:ind w:left="1420" w:right="1398" w:firstLine="249"/>
        <w:spacing w:after="0" w:line="253" w:lineRule="auto"/>
        <w:rPr>
          <w:sz w:val="20"/>
          <w:szCs w:val="20"/>
          <w:color w:val="auto"/>
        </w:rPr>
      </w:pPr>
      <w:r>
        <w:rPr>
          <w:rFonts w:ascii="Arial" w:cs="Arial" w:eastAsia="Arial" w:hAnsi="Arial"/>
          <w:sz w:val="13"/>
          <w:szCs w:val="13"/>
          <w:color w:val="auto"/>
        </w:rPr>
        <w:t>As described in “Taxation — PRC,” if we are deemed to be a “resident enterprise” under PRC tax law, any gain on the sale of ADSs or Class A ordinary shares may be subject to PRC taxes. Under the Code, capital gains of U.S. persons generally are treated as U.S. -source income. However, if you are eligible for the benefits of the Treaty, you may be able to elect to treat the gain as foreign-source income under the Treaty and claim a foreign tax credit in respect of any PRC taxes on disposition gains. Under certain Treasury regulations, you generally will be precluded from claiming a foreign tax credit with respect to PRC income taxes on gains from dispositions of ADSs or Class A ordinary shares unless you are eligible for Treaty benefits and elect to apply them. As discussed above under “—Taxation of Distributions,” the IRS has released notices that provide relief from certain of their provisions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you from claiming a foreign tax credit with respect to PRC taxes on disposition gains, other limitations under the foreign tax credit rules may preclude you from claiming (or limit your ability to claim) a foreign tax credit with respect to PRC income taxes on disposition gains. If you are precluded from claiming a foreign tax credit, it is possible that any PRC income taxes on disposition gains may either be deductible or reduce the amount realized on the disposition.</w:t>
      </w:r>
    </w:p>
    <w:p>
      <w:pPr>
        <w:spacing w:after="0" w:line="71"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rules governing foreign tax credits and the deductibility of non-U.S. taxes are complex. You should consult your tax adviser regarding your eligibility for the benefits of the Treaty and the creditability or deductibility of any PRC or other non-U.S. tax on disposition gains in your particular circumstances, including the Treaty’s resourcing rules, any reporting requirements with respect to a Treaty-based return position and any applicable limitations.</w:t>
      </w:r>
    </w:p>
    <w:p>
      <w:pPr>
        <w:spacing w:after="0" w:line="86"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Passive Foreign Investment Company Rules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general, a non-U.S. corporation is a PFIC for U.S. federal income tax purposes for any taxable year in which (i) 75% or more of its gross income consists of passive income or (ii) 50% or more of the value of its assets (generally determined on a quarterly average basis) consists of assets that produce, or are held for the production of, passive income. For the purposes of the above calculations, a non-U.S. corporation that owns, directly or indirectly, at least 25% by value of the stock of another corporation is treated as if it held its proportionate share of the assets of the other corporation and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3" w:name="page284"/>
    <w:bookmarkEnd w:id="28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received directly its proportionate share of the income of the other corporation. Passive income generally includes dividends, interest, rents, royalties (other than certain rents or royalties derived in an active business), and certain investment gains. Cash and cash equivalents are generally treated as passive assets. Goodwill and other intangible assets are generally treated as active assets to the extent they are associated with business activities that generate active income.</w:t>
      </w:r>
    </w:p>
    <w:p>
      <w:pPr>
        <w:spacing w:after="0" w:line="84"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Based on the expected composition of our income and assets and the estimated value of our assets, including goodwill and other intangible assets, which is based on the expected price of the ADSs in this offering, we do not expect to be a PFIC for our current taxable year. However, our PFIC status for the current or any future taxable year is an annual factual determination that can be made only after the end of that year. Specifically, our PFIC status for any taxable year will depend on the composition of our income and assets and the average value of our assets from time to time (including the value of our goodwill and other intangible assets, which may be determined in large part by reference to our market capitalization, which could be volatile). Because following this offering we will hold a substantial amount of cash, we may be or become a PFIC for any taxable year if our market capitalization declines or fluctuates significantly. Furthermore, our annual PFIC status could be impacted by our minority investments in other companies (depending, among other things, on the amount invested and the nature of these companies’ business). In addition, it is not entirely clear how the contractual arrangement between us and the VIEs will be treated for purposes of the PFIC rules, and we may be or become a PFIC if the VIEs are not treated as owned by us for these purposes. Accordingly, we cannot assure you that we will not be a PFIC for the current or any future taxable year.</w:t>
      </w:r>
    </w:p>
    <w:p>
      <w:pPr>
        <w:spacing w:after="0" w:line="93"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If we are a PFIC for any taxable year and any subsidiary, VIE or other company in which we own or are treated as owning equity interests is also a PFIC (any such entity, a “Lower-tier PFIC”), you will be deemed to own your proportionate share of the Lower-tier PFIC and will be subject to U.S. federal income tax according to the rules described in the following paragraph on (i) certain distributions by the Lower-tier PFIC and (ii) a disposition of equity interests of the Lower-tier PFIC, in each case as if you owned your proportionate share of the Lower -tier PFIC directly, even though you will not receive the proceeds of those distributions or dispositions directly.</w:t>
      </w:r>
    </w:p>
    <w:p>
      <w:pPr>
        <w:spacing w:after="0" w:line="76"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Generally, if we are a PFIC for any taxable year during which you own our ADSs or Class A ordinary shares, gain recognized upon a disposition (including certain pledges) of ADSs or Class A ordinary shares by you will be allocated ratably over your holding period for the ADSs or Class A ordinary shares. The amounts allocated to the taxable year of disposition and to years before we became a PFIC will be taxed as ordinary income. The amount allocated to each other taxable year will be subject to tax at the highest tax rate in effect for that taxable year for individuals or corporations, as appropriate, and an interest charge will be imposed on the tax allocated to each taxable year. Furthermore, to the extent that distributions you receive on your ADSs or Class A ordinary shares in any taxable year exceed 125% of the average of the annual distributions on the ADSs or Class A ordinary shares received during the preceding three taxable years or your holding period, whichever is shorter, the excess distributions will be subject to taxation in the same manner. If we are a PFIC for any taxable year during which you own ADSs or Class A ordinary shares, we generally will continue to be treated as a PFIC with respect to you for all succeeding years during which you own the ADSs or Class A ordinary shares, even if we cease to meet the threshold requirements for PFIC status. If, however, we are a PFIC for any taxable year but cease to be a PFIC for subsequent years, you may make a “deemed sale” election that will allow you to eliminate the continuing PFIC status, in which case any gain on the deemed sale will be taxed under the PFIC rules described above. You should consult your tax adviser regarding the advisability of making this decision.</w:t>
      </w:r>
    </w:p>
    <w:p>
      <w:pPr>
        <w:spacing w:after="0" w:line="89"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Alternatively, if we are a PFIC for any taxable year and if the ADSs are “regularly traded” on the Nasdaq, you may make a mark-to-market election with respect to your ADSs (but not Class A Ordinary Shares) that will result in tax treatment different from the general tax treatment for PFICs described in the preceding paragraph. Our ADSs will be treated as “regularly traded” in any calendar year in which more than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quantity of the ADSs are traded on the Nasdaq on at least 15 days</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4" w:name="page285"/>
    <w:bookmarkEnd w:id="28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4" w:lineRule="auto"/>
        <w:rPr>
          <w:sz w:val="20"/>
          <w:szCs w:val="20"/>
          <w:color w:val="auto"/>
        </w:rPr>
      </w:pPr>
      <w:r>
        <w:rPr>
          <w:rFonts w:ascii="Arial" w:cs="Arial" w:eastAsia="Arial" w:hAnsi="Arial"/>
          <w:sz w:val="14"/>
          <w:szCs w:val="14"/>
          <w:color w:val="auto"/>
        </w:rPr>
        <w:t>during each calendar quarter. If you timely make a mark-to-market election, for any taxable year in which we are a PFIC, you generally will recognize as ordinary income any excess of the fair market value of the ADSs at the end of the taxable year over your adjusted tax basis in the ADSs, and will recognize an ordinary loss in respect of any excess of the adjusted tax basis in the ADSs over their fair market value at the end of the taxable year (but only to the extent of the net amount of income previously included as a result of the mark-to-market election). If you timely make the election, your tax basis in the ADSs will be adjusted to reflect the amounts of any income or loss recognized. Any gain recognized on the sale or other disposition of the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you make the mark-to-market election, distributions paid on ADSs will be treated as discussed under “— Taxation of Distributions” above (except as described in the subsequent paragraph). Once made, the election will remain in effect for all taxable years in which we are a PFIC, unless it is revoked with the IRS’s consent, or the ADSs cease to be regularly traded on a qualified exchange. You should consult your tax adviser regarding the availability and advisability of making a mark-to-market election in your particular circumstances if we are a PFIC for any taxable year. There is no provision in the Code, Treasury regulations or other official guidance that provides for a right to make a mark-to-market election with respect to any Lower-tier PFIC. As a result, even if you make a mark-to-market election with respect to your ADSs, you could nevertheless be subject to the PFIC rules described in the preceding paragraph with respect to your indirect interest in any Lower-tier PFIC.</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If we are a PFIC (or are treated as a PFIC with respect to you) for any taxable year in which we pay a dividend or the preceding taxable year, the preferential tax rate on dividends paid to non-corporate U.S. taxpayers will not apply.</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We do not intend to provide the information necessary for you to make a “qualified electing fund” election, which, if available, could materially affect the tax consequences of the ownership and disposition of our ADSs or Class A ordinary shares if we are a PFIC for any taxable year. Therefore, you will not be able to make this election.</w:t>
      </w:r>
    </w:p>
    <w:p>
      <w:pPr>
        <w:spacing w:after="0" w:line="6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If you own ADSs or Class A ordinary shares during any taxable year in which we are a PFIC, you generally will be required to file annual reports on IRS Form 8621 with respect to us and any Lower-tier PFIC, generally with your federal income tax return for that year. You should consult your tax adviser regarding the potential application of the PFIC rules to your ownership of ADSs or Class A ordinary shares.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Payments of dividends and proceeds from the sale of ADSs or Class A ordinary shares that are made within the United States or through certain U.S.-related financial intermediaries may be subject to information reporting and backup withholding unless (i) you are a corporation or other “exempt recipient” (and establish that fact if required to do so) or (ii) in the case of backup withholding, you provide a correct taxpayer identification number and certify that you are not subject to backup withholding, generally on IRS Form W-9. The amount of any backup withholding from a payment to you will be allowed as a credit against your U.S. federal income tax liability and may entitle you to a refund, provided that the required information is timely furnished to the IRS.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Foreign Financial Assets Reporting</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Certain U.S. Holders who are individuals (or one of certain specified entities) may be required to report information relating to their ownership of ADSs or Class A ordinary shares, or non-U.S. financial accounts through which ADSs or Class A ordinary shares are held. You should consult your tax adviser regarding your reporting obligations with respect to your ownership and disposition of the ADSs or Class A ordinary shares.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5" w:name="page286"/>
    <w:bookmarkEnd w:id="28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UNDERWRITING</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Under the terms and subject to the conditions in an underwriting agreement dated the date of this prospectus, the underwriters named below, for whom Deutsche Bank AG, Hong Kong Branch, China International Capital Corporation Hong Kong Securities Limited and CR Global Markets are acting as representatives, have severally agreed to purchase, and we have agreed to sell to them, severally, the number of ADSs indicated below:</w:t>
      </w:r>
    </w:p>
    <w:p>
      <w:pPr>
        <w:spacing w:after="0" w:line="121"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60"/>
              <w:spacing w:after="0"/>
              <w:rPr>
                <w:sz w:val="20"/>
                <w:szCs w:val="20"/>
                <w:color w:val="auto"/>
              </w:rPr>
            </w:pPr>
            <w:r>
              <w:rPr>
                <w:rFonts w:ascii="Arial" w:cs="Arial" w:eastAsia="Arial" w:hAnsi="Arial"/>
                <w:sz w:val="11"/>
                <w:szCs w:val="11"/>
                <w:b w:val="1"/>
                <w:bCs w:val="1"/>
                <w:color w:val="auto"/>
              </w:rPr>
              <w:t>Number of</w:t>
            </w:r>
          </w:p>
        </w:tc>
      </w:tr>
      <w:tr>
        <w:trPr>
          <w:trHeight w:val="160"/>
        </w:trPr>
        <w:tc>
          <w:tcPr>
            <w:tcW w:w="5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ADSs</w:t>
            </w:r>
          </w:p>
        </w:tc>
      </w:tr>
      <w:tr>
        <w:trPr>
          <w:trHeight w:val="204"/>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Deutsche Bank AG, Hong Kong Branch</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2,581,182</w:t>
            </w:r>
          </w:p>
        </w:tc>
      </w:tr>
      <w:tr>
        <w:trPr>
          <w:trHeight w:val="209"/>
        </w:trPr>
        <w:tc>
          <w:tcPr>
            <w:tcW w:w="5140" w:type="dxa"/>
            <w:vAlign w:val="bottom"/>
          </w:tcPr>
          <w:p>
            <w:pPr>
              <w:spacing w:after="0"/>
              <w:rPr>
                <w:sz w:val="20"/>
                <w:szCs w:val="20"/>
                <w:color w:val="auto"/>
              </w:rPr>
            </w:pPr>
            <w:r>
              <w:rPr>
                <w:rFonts w:ascii="Arial" w:cs="Arial" w:eastAsia="Arial" w:hAnsi="Arial"/>
                <w:sz w:val="14"/>
                <w:szCs w:val="14"/>
                <w:color w:val="auto"/>
              </w:rPr>
              <w:t>China International Capital Corporation Hong Kong Securities Limited</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307,018</w:t>
            </w:r>
          </w:p>
        </w:tc>
      </w:tr>
      <w:tr>
        <w:trPr>
          <w:trHeight w:val="227"/>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CR Global Markets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86,000</w:t>
            </w:r>
          </w:p>
        </w:tc>
      </w:tr>
      <w:tr>
        <w:trPr>
          <w:trHeight w:val="214"/>
        </w:trPr>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ICBC International Securities Limited</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25,800</w:t>
            </w:r>
          </w:p>
        </w:tc>
      </w:tr>
      <w:tr>
        <w:trPr>
          <w:trHeight w:val="191"/>
        </w:trPr>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53"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6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have granted to the underwriters an option, exercisable for 30 days from the date of this prospectus, to purchase up to 450,000 additional ADSs at the public offering price listed on the cover page of this prospectus. The underwriters will not receive any discount or commission on these additional ADSs.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63"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The following table sets forth the per ADS and total public offering price, underwriting discounts and commissions, and proceeds before expenses to us. These amounts are shown assuming both no exercise and full exercise of the underwriters’ option to purchase up to an additional 450,000 ADSs.</w:t>
      </w:r>
    </w:p>
    <w:p>
      <w:pPr>
        <w:spacing w:after="0" w:line="97" w:lineRule="exact"/>
        <w:rPr>
          <w:sz w:val="20"/>
          <w:szCs w:val="20"/>
          <w:color w:val="auto"/>
        </w:rPr>
      </w:pPr>
    </w:p>
    <w:tbl>
      <w:tblPr>
        <w:tblLayout w:type="fixed"/>
        <w:tblInd w:w="1420" w:type="dxa"/>
        <w:tblCellMar>
          <w:top w:w="0" w:type="dxa"/>
          <w:left w:w="0" w:type="dxa"/>
          <w:bottom w:w="0" w:type="dxa"/>
          <w:right w:w="0" w:type="dxa"/>
        </w:tblCellMar>
      </w:tblPr>
      <w:tr>
        <w:trPr>
          <w:trHeight w:val="156"/>
        </w:trPr>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rPr>
              <w:t>Total</w:t>
            </w:r>
          </w:p>
        </w:tc>
        <w:tc>
          <w:tcPr>
            <w:tcW w:w="900" w:type="dxa"/>
            <w:vAlign w:val="bottom"/>
            <w:tcBorders>
              <w:bottom w:val="single" w:sz="8" w:color="auto"/>
            </w:tcBorders>
          </w:tcPr>
          <w:p>
            <w:pPr>
              <w:spacing w:after="0"/>
              <w:rPr>
                <w:sz w:val="13"/>
                <w:szCs w:val="13"/>
                <w:color w:val="auto"/>
              </w:rPr>
            </w:pPr>
          </w:p>
        </w:tc>
      </w:tr>
      <w:tr>
        <w:trPr>
          <w:trHeight w:val="114"/>
        </w:trPr>
        <w:tc>
          <w:tcPr>
            <w:tcW w:w="2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jc w:val="center"/>
              <w:ind w:right="380"/>
              <w:spacing w:after="0" w:line="114" w:lineRule="exact"/>
              <w:rPr>
                <w:sz w:val="20"/>
                <w:szCs w:val="20"/>
                <w:color w:val="auto"/>
              </w:rPr>
            </w:pPr>
            <w:r>
              <w:rPr>
                <w:rFonts w:ascii="Arial" w:cs="Arial" w:eastAsia="Arial" w:hAnsi="Arial"/>
                <w:sz w:val="11"/>
                <w:szCs w:val="11"/>
                <w:b w:val="1"/>
                <w:bCs w:val="1"/>
                <w:color w:val="auto"/>
              </w:rPr>
              <w:t>Per</w:t>
            </w:r>
          </w:p>
        </w:tc>
        <w:tc>
          <w:tcPr>
            <w:tcW w:w="300" w:type="dxa"/>
            <w:vAlign w:val="bottom"/>
          </w:tcPr>
          <w:p>
            <w:pPr>
              <w:spacing w:after="0"/>
              <w:rPr>
                <w:sz w:val="9"/>
                <w:szCs w:val="9"/>
                <w:color w:val="auto"/>
              </w:rPr>
            </w:pPr>
          </w:p>
        </w:tc>
        <w:tc>
          <w:tcPr>
            <w:tcW w:w="940" w:type="dxa"/>
            <w:vAlign w:val="bottom"/>
            <w:gridSpan w:val="2"/>
          </w:tcPr>
          <w:p>
            <w:pPr>
              <w:ind w:left="200"/>
              <w:spacing w:after="0" w:line="114" w:lineRule="exact"/>
              <w:rPr>
                <w:sz w:val="20"/>
                <w:szCs w:val="20"/>
                <w:color w:val="auto"/>
              </w:rPr>
            </w:pPr>
            <w:r>
              <w:rPr>
                <w:rFonts w:ascii="Arial" w:cs="Arial" w:eastAsia="Arial" w:hAnsi="Arial"/>
                <w:sz w:val="11"/>
                <w:szCs w:val="11"/>
                <w:b w:val="1"/>
                <w:bCs w:val="1"/>
                <w:color w:val="auto"/>
              </w:rPr>
              <w:t>No</w:t>
            </w:r>
          </w:p>
        </w:tc>
        <w:tc>
          <w:tcPr>
            <w:tcW w:w="320" w:type="dxa"/>
            <w:vAlign w:val="bottom"/>
          </w:tcPr>
          <w:p>
            <w:pPr>
              <w:spacing w:after="0"/>
              <w:rPr>
                <w:sz w:val="9"/>
                <w:szCs w:val="9"/>
                <w:color w:val="auto"/>
              </w:rPr>
            </w:pPr>
          </w:p>
        </w:tc>
        <w:tc>
          <w:tcPr>
            <w:tcW w:w="900" w:type="dxa"/>
            <w:vAlign w:val="bottom"/>
          </w:tcPr>
          <w:p>
            <w:pPr>
              <w:jc w:val="right"/>
              <w:ind w:right="456"/>
              <w:spacing w:after="0" w:line="114" w:lineRule="exact"/>
              <w:rPr>
                <w:sz w:val="20"/>
                <w:szCs w:val="20"/>
                <w:color w:val="auto"/>
              </w:rPr>
            </w:pPr>
            <w:r>
              <w:rPr>
                <w:rFonts w:ascii="Arial" w:cs="Arial" w:eastAsia="Arial" w:hAnsi="Arial"/>
                <w:sz w:val="11"/>
                <w:szCs w:val="11"/>
                <w:b w:val="1"/>
                <w:bCs w:val="1"/>
                <w:color w:val="auto"/>
              </w:rPr>
              <w:t>Full</w:t>
            </w:r>
          </w:p>
        </w:tc>
      </w:tr>
      <w:tr>
        <w:trPr>
          <w:trHeight w:val="160"/>
        </w:trPr>
        <w:tc>
          <w:tcPr>
            <w:tcW w:w="26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w w:val="97"/>
              </w:rPr>
              <w:t>Share</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Exercise</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Exercise</w:t>
            </w:r>
          </w:p>
        </w:tc>
      </w:tr>
      <w:tr>
        <w:trPr>
          <w:trHeight w:val="204"/>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17.0</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51,000,000</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58,650,000</w:t>
            </w:r>
          </w:p>
        </w:tc>
      </w:tr>
      <w:tr>
        <w:trPr>
          <w:trHeight w:val="137"/>
        </w:trPr>
        <w:tc>
          <w:tcPr>
            <w:tcW w:w="2680" w:type="dxa"/>
            <w:vAlign w:val="bottom"/>
          </w:tcPr>
          <w:p>
            <w:pPr>
              <w:spacing w:after="0" w:line="137" w:lineRule="exact"/>
              <w:rPr>
                <w:sz w:val="20"/>
                <w:szCs w:val="20"/>
                <w:color w:val="auto"/>
              </w:rPr>
            </w:pPr>
            <w:r>
              <w:rPr>
                <w:rFonts w:ascii="Arial" w:cs="Arial" w:eastAsia="Arial" w:hAnsi="Arial"/>
                <w:sz w:val="14"/>
                <w:szCs w:val="14"/>
                <w:color w:val="auto"/>
              </w:rPr>
              <w:t>Underwriting discounts and commissions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96"/>
        </w:trPr>
        <w:tc>
          <w:tcPr>
            <w:tcW w:w="2680" w:type="dxa"/>
            <w:vAlign w:val="bottom"/>
          </w:tcPr>
          <w:p>
            <w:pPr>
              <w:ind w:left="140"/>
              <w:spacing w:after="0"/>
              <w:rPr>
                <w:sz w:val="20"/>
                <w:szCs w:val="20"/>
                <w:color w:val="auto"/>
              </w:rPr>
            </w:pPr>
            <w:r>
              <w:rPr>
                <w:rFonts w:ascii="Arial" w:cs="Arial" w:eastAsia="Arial" w:hAnsi="Arial"/>
                <w:sz w:val="14"/>
                <w:szCs w:val="14"/>
                <w:color w:val="auto"/>
              </w:rPr>
              <w:t>to be paid by:</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1.1628</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3,487,000</w:t>
            </w: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3,487,000</w:t>
            </w:r>
          </w:p>
        </w:tc>
      </w:tr>
      <w:tr>
        <w:trPr>
          <w:trHeight w:val="200"/>
        </w:trPr>
        <w:tc>
          <w:tcPr>
            <w:tcW w:w="2680" w:type="dxa"/>
            <w:vAlign w:val="bottom"/>
          </w:tcPr>
          <w:p>
            <w:pPr>
              <w:spacing w:after="0"/>
              <w:rPr>
                <w:sz w:val="20"/>
                <w:szCs w:val="20"/>
                <w:color w:val="auto"/>
              </w:rPr>
            </w:pPr>
            <w:r>
              <w:rPr>
                <w:rFonts w:ascii="Arial" w:cs="Arial" w:eastAsia="Arial" w:hAnsi="Arial"/>
                <w:sz w:val="14"/>
                <w:szCs w:val="14"/>
                <w:color w:val="auto"/>
              </w:rPr>
              <w:t>Proceeds, before expenses, to us</w:t>
            </w:r>
          </w:p>
        </w:tc>
        <w:tc>
          <w:tcPr>
            <w:tcW w:w="320" w:type="dxa"/>
            <w:vAlign w:val="bottom"/>
          </w:tcPr>
          <w:p>
            <w:pPr>
              <w:spacing w:after="0"/>
              <w:rPr>
                <w:sz w:val="20"/>
                <w:szCs w:val="20"/>
                <w:color w:val="auto"/>
              </w:rPr>
            </w:pPr>
            <w:r>
              <w:rPr>
                <w:rFonts w:ascii="Arial" w:cs="Arial" w:eastAsia="Arial" w:hAnsi="Arial"/>
                <w:sz w:val="14"/>
                <w:szCs w:val="14"/>
                <w:color w:val="auto"/>
              </w:rPr>
              <w:t>US$</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15.8372</w:t>
            </w:r>
          </w:p>
        </w:tc>
        <w:tc>
          <w:tcPr>
            <w:tcW w:w="30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47,513,000</w:t>
            </w:r>
          </w:p>
        </w:tc>
        <w:tc>
          <w:tcPr>
            <w:tcW w:w="320" w:type="dxa"/>
            <w:vAlign w:val="bottom"/>
          </w:tcPr>
          <w:p>
            <w:pPr>
              <w:spacing w:after="0"/>
              <w:rPr>
                <w:sz w:val="20"/>
                <w:szCs w:val="20"/>
                <w:color w:val="auto"/>
              </w:rPr>
            </w:pPr>
            <w:r>
              <w:rPr>
                <w:rFonts w:ascii="Arial" w:cs="Arial" w:eastAsia="Arial" w:hAnsi="Arial"/>
                <w:sz w:val="14"/>
                <w:szCs w:val="14"/>
                <w:color w:val="auto"/>
              </w:rPr>
              <w:t>US$</w:t>
            </w:r>
          </w:p>
        </w:tc>
        <w:tc>
          <w:tcPr>
            <w:tcW w:w="900" w:type="dxa"/>
            <w:vAlign w:val="bottom"/>
          </w:tcPr>
          <w:p>
            <w:pPr>
              <w:jc w:val="right"/>
              <w:spacing w:after="0"/>
              <w:rPr>
                <w:sz w:val="20"/>
                <w:szCs w:val="20"/>
                <w:color w:val="auto"/>
              </w:rPr>
            </w:pPr>
            <w:r>
              <w:rPr>
                <w:rFonts w:ascii="Arial" w:cs="Arial" w:eastAsia="Arial" w:hAnsi="Arial"/>
                <w:sz w:val="14"/>
                <w:szCs w:val="14"/>
                <w:color w:val="auto"/>
              </w:rPr>
              <w:t>55,163,000</w:t>
            </w:r>
          </w:p>
        </w:tc>
      </w:tr>
    </w:tbl>
    <w:p>
      <w:pPr>
        <w:spacing w:after="0" w:line="145"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estimated offering expenses, exclusive of the underwriting discounts and commissions, are approximately US$8,432,478.</w:t>
      </w:r>
    </w:p>
    <w:p>
      <w:pPr>
        <w:spacing w:after="0" w:line="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6" w:name="page287"/>
    <w:bookmarkEnd w:id="28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Some of the underwriters are expected to make offers and sales both inside and outside the U.S. through their respective selling agents. Any offers or sales in the U.S. will be conducted by broker-dealers registered with the SEC. Certain of the underwriters of this offering are not broker-dealers registered with the SEC. Deutsche Bank AG, Hong Kong Branch will offer ADSs in the United States through its SEC-registered broker-dealer affiliate in the United States, Deutsche Bank Securities Inc.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 ICBC International Securities Limited intends to make offers or sales of ADSs outside the United States and to non -U.S. persons. ICBC International Securities Limited has agreed that it does not intend to and will not offer or sell any of the ADSs in the United States or to U.S. persons in connection with this offering.</w:t>
      </w:r>
    </w:p>
    <w:p>
      <w:pPr>
        <w:spacing w:after="0" w:line="88"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The address of Deutsche Bank AG, Hong Kong Branch is 60/F, International Commerce Centre, 1 Austin Road West, Kowloon, Hong Kong. The address of China International Capital Corporation Hong Kong Securities Limited is 29/F, One International Finance Center, 1 Harbor View Street, Central, Hong Kong. The address of CR Global Markets is 295 Madison Avenue, 18</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New York, NY 10017, USA. The address of ICBC International Securities Limited is 37/F, ICBC Tower, 3 Garden Road, Hong Kong.</w:t>
      </w:r>
    </w:p>
    <w:p>
      <w:pPr>
        <w:spacing w:after="0" w:line="8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We will apply for the listing of the ADSs on the Nasdaq under the trading symbol “DSC”.</w:t>
      </w:r>
    </w:p>
    <w:p>
      <w:pPr>
        <w:spacing w:after="0" w:line="98"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We, our directors, executive officers and existing shareholders have agreed that, without the prior written consent of the representatives, we and they will not, and will not publicly disclose an intention to, during the period ending 180 days after the date of this prospectus (the “restricted period”):</w:t>
      </w:r>
    </w:p>
    <w:p>
      <w:pPr>
        <w:spacing w:after="0" w:line="58" w:lineRule="exact"/>
        <w:rPr>
          <w:sz w:val="20"/>
          <w:szCs w:val="20"/>
          <w:color w:val="auto"/>
        </w:rPr>
      </w:pPr>
    </w:p>
    <w:p>
      <w:pPr>
        <w:jc w:val="both"/>
        <w:ind w:left="1800" w:right="1398" w:hanging="136"/>
        <w:spacing w:after="0" w:line="245" w:lineRule="auto"/>
        <w:tabs>
          <w:tab w:leader="none" w:pos="1804" w:val="left"/>
        </w:tabs>
        <w:numPr>
          <w:ilvl w:val="0"/>
          <w:numId w:val="151"/>
        </w:numPr>
        <w:rPr>
          <w:rFonts w:ascii="Arial" w:cs="Arial" w:eastAsia="Arial" w:hAnsi="Arial"/>
          <w:sz w:val="11"/>
          <w:szCs w:val="11"/>
          <w:color w:val="auto"/>
        </w:rPr>
      </w:pPr>
      <w:r>
        <w:rPr>
          <w:rFonts w:ascii="Arial" w:cs="Arial" w:eastAsia="Arial" w:hAnsi="Arial"/>
          <w:sz w:val="14"/>
          <w:szCs w:val="14"/>
          <w:color w:val="auto"/>
        </w:rPr>
        <w:t>offer, pledge, sell, contract to sell, sell any option or contract to purchase, purchase any option or contract to sell, grant any option, right or warrant to purchase, lend or otherwise transfer or dispose of, directly or indirectly, any ordinary shares, any ADSs or any securities convertible into or exercisable or exchangeable for ordinary shares or ADSs;</w:t>
      </w:r>
    </w:p>
    <w:p>
      <w:pPr>
        <w:spacing w:after="0" w:line="79" w:lineRule="exact"/>
        <w:rPr>
          <w:rFonts w:ascii="Arial" w:cs="Arial" w:eastAsia="Arial" w:hAnsi="Arial"/>
          <w:sz w:val="11"/>
          <w:szCs w:val="11"/>
          <w:color w:val="auto"/>
        </w:rPr>
      </w:pPr>
    </w:p>
    <w:p>
      <w:pPr>
        <w:jc w:val="both"/>
        <w:ind w:left="1800" w:right="1398" w:hanging="136"/>
        <w:spacing w:after="0" w:line="251" w:lineRule="auto"/>
        <w:tabs>
          <w:tab w:leader="none" w:pos="1804" w:val="left"/>
        </w:tabs>
        <w:numPr>
          <w:ilvl w:val="0"/>
          <w:numId w:val="151"/>
        </w:numPr>
        <w:rPr>
          <w:rFonts w:ascii="Arial" w:cs="Arial" w:eastAsia="Arial" w:hAnsi="Arial"/>
          <w:sz w:val="11"/>
          <w:szCs w:val="11"/>
          <w:color w:val="auto"/>
        </w:rPr>
      </w:pPr>
      <w:r>
        <w:rPr>
          <w:rFonts w:ascii="Arial" w:cs="Arial" w:eastAsia="Arial" w:hAnsi="Arial"/>
          <w:sz w:val="14"/>
          <w:szCs w:val="14"/>
          <w:color w:val="auto"/>
        </w:rPr>
        <w:t>file any registration statement with the Securities and Exchange Commission relating to the offering of any ordinary shares, any ADSs or any securities convertible into or exercisable or exchangeable for ordinary shares or ADSs; or</w:t>
      </w:r>
    </w:p>
    <w:p>
      <w:pPr>
        <w:spacing w:after="0" w:line="65"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51"/>
        </w:numPr>
        <w:rPr>
          <w:rFonts w:ascii="Arial" w:cs="Arial" w:eastAsia="Arial" w:hAnsi="Arial"/>
          <w:sz w:val="11"/>
          <w:szCs w:val="11"/>
          <w:color w:val="auto"/>
        </w:rPr>
      </w:pPr>
      <w:r>
        <w:rPr>
          <w:rFonts w:ascii="Arial" w:cs="Arial" w:eastAsia="Arial" w:hAnsi="Arial"/>
          <w:sz w:val="14"/>
          <w:szCs w:val="14"/>
          <w:color w:val="auto"/>
        </w:rPr>
        <w:t>enter into any swap or other arrangement that transfers to another, in whole or in part, any of the economic consequences of ownership of the ordinary shares or ADSs.</w:t>
      </w:r>
    </w:p>
    <w:p>
      <w:pPr>
        <w:spacing w:after="0" w:line="62"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restrictions described in the immediately preceding paragraph are subject to certain exceptions, including:</w:t>
      </w:r>
    </w:p>
    <w:p>
      <w:pPr>
        <w:spacing w:after="0" w:line="51" w:lineRule="exact"/>
        <w:rPr>
          <w:sz w:val="20"/>
          <w:szCs w:val="20"/>
          <w:color w:val="auto"/>
        </w:rPr>
      </w:pPr>
    </w:p>
    <w:p>
      <w:pPr>
        <w:ind w:left="1800" w:hanging="136"/>
        <w:spacing w:after="0"/>
        <w:tabs>
          <w:tab w:leader="none" w:pos="1800" w:val="left"/>
        </w:tabs>
        <w:numPr>
          <w:ilvl w:val="0"/>
          <w:numId w:val="152"/>
        </w:numPr>
        <w:rPr>
          <w:rFonts w:ascii="Arial" w:cs="Arial" w:eastAsia="Arial" w:hAnsi="Arial"/>
          <w:sz w:val="11"/>
          <w:szCs w:val="11"/>
          <w:color w:val="auto"/>
        </w:rPr>
      </w:pPr>
      <w:r>
        <w:rPr>
          <w:rFonts w:ascii="Arial" w:cs="Arial" w:eastAsia="Arial" w:hAnsi="Arial"/>
          <w:sz w:val="14"/>
          <w:szCs w:val="14"/>
          <w:color w:val="auto"/>
        </w:rPr>
        <w:t>the sale of shares to the underwriters;</w:t>
      </w:r>
    </w:p>
    <w:p>
      <w:pPr>
        <w:spacing w:after="0" w:line="108" w:lineRule="exact"/>
        <w:rPr>
          <w:rFonts w:ascii="Arial" w:cs="Arial" w:eastAsia="Arial" w:hAnsi="Arial"/>
          <w:sz w:val="11"/>
          <w:szCs w:val="11"/>
          <w:color w:val="auto"/>
        </w:rPr>
      </w:pPr>
    </w:p>
    <w:p>
      <w:pPr>
        <w:jc w:val="both"/>
        <w:ind w:left="1800" w:right="1398" w:hanging="136"/>
        <w:spacing w:after="0" w:line="251" w:lineRule="auto"/>
        <w:tabs>
          <w:tab w:leader="none" w:pos="1783" w:val="left"/>
        </w:tabs>
        <w:numPr>
          <w:ilvl w:val="0"/>
          <w:numId w:val="152"/>
        </w:numPr>
        <w:rPr>
          <w:rFonts w:ascii="Arial" w:cs="Arial" w:eastAsia="Arial" w:hAnsi="Arial"/>
          <w:sz w:val="11"/>
          <w:szCs w:val="11"/>
          <w:color w:val="auto"/>
        </w:rPr>
      </w:pPr>
      <w:r>
        <w:rPr>
          <w:rFonts w:ascii="Arial" w:cs="Arial" w:eastAsia="Arial" w:hAnsi="Arial"/>
          <w:sz w:val="14"/>
          <w:szCs w:val="14"/>
          <w:color w:val="auto"/>
        </w:rPr>
        <w:t>the issuance by the Company of ordinary shares upon the exercise of an option or a warrant or the conversion of a security outstanding on the date of this prospectus of which the underwriters have been advised in writing;</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7" w:name="page288"/>
    <w:bookmarkEnd w:id="28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800" w:right="1398" w:hanging="136"/>
        <w:spacing w:after="0" w:line="239" w:lineRule="auto"/>
        <w:tabs>
          <w:tab w:leader="none" w:pos="1783" w:val="left"/>
        </w:tabs>
        <w:numPr>
          <w:ilvl w:val="0"/>
          <w:numId w:val="153"/>
        </w:numPr>
        <w:rPr>
          <w:rFonts w:ascii="Arial" w:cs="Arial" w:eastAsia="Arial" w:hAnsi="Arial"/>
          <w:sz w:val="11"/>
          <w:szCs w:val="11"/>
          <w:color w:val="auto"/>
        </w:rPr>
      </w:pPr>
      <w:r>
        <w:rPr>
          <w:rFonts w:ascii="Arial" w:cs="Arial" w:eastAsia="Arial" w:hAnsi="Arial"/>
          <w:sz w:val="14"/>
          <w:szCs w:val="14"/>
          <w:color w:val="auto"/>
        </w:rPr>
        <w:t>transactions by any person other than us relating to ordinary shares, ADSs or other securities acquired in the offering or in open market transactions after the completion of the offering of the ADSs; provided that no filing under Section 16(a) of the Securities Exchange Act of 1934, as amended (the “Exchange Act”), is voluntarily made, and if any such filing shall be legally required during the restricted period, such filing shall clearly indicate in the footnotes thereto the circumstances of such transfer or distribution;</w:t>
      </w:r>
    </w:p>
    <w:p>
      <w:pPr>
        <w:spacing w:after="0" w:line="86" w:lineRule="exact"/>
        <w:rPr>
          <w:rFonts w:ascii="Arial" w:cs="Arial" w:eastAsia="Arial" w:hAnsi="Arial"/>
          <w:sz w:val="11"/>
          <w:szCs w:val="11"/>
          <w:color w:val="auto"/>
        </w:rPr>
      </w:pPr>
    </w:p>
    <w:p>
      <w:pPr>
        <w:jc w:val="both"/>
        <w:ind w:left="1800" w:right="1398" w:hanging="136"/>
        <w:spacing w:after="0" w:line="238" w:lineRule="auto"/>
        <w:tabs>
          <w:tab w:leader="none" w:pos="1804" w:val="left"/>
        </w:tabs>
        <w:numPr>
          <w:ilvl w:val="0"/>
          <w:numId w:val="153"/>
        </w:numPr>
        <w:rPr>
          <w:rFonts w:ascii="Arial" w:cs="Arial" w:eastAsia="Arial" w:hAnsi="Arial"/>
          <w:sz w:val="11"/>
          <w:szCs w:val="11"/>
          <w:color w:val="auto"/>
        </w:rPr>
      </w:pPr>
      <w:r>
        <w:rPr>
          <w:rFonts w:ascii="Arial" w:cs="Arial" w:eastAsia="Arial" w:hAnsi="Arial"/>
          <w:sz w:val="14"/>
          <w:szCs w:val="14"/>
          <w:color w:val="auto"/>
        </w:rPr>
        <w:t>the establishment of a trading plan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 or</w:t>
      </w:r>
    </w:p>
    <w:p>
      <w:pPr>
        <w:spacing w:after="0" w:line="86"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153"/>
        </w:numPr>
        <w:rPr>
          <w:rFonts w:ascii="Arial" w:cs="Arial" w:eastAsia="Arial" w:hAnsi="Arial"/>
          <w:sz w:val="11"/>
          <w:szCs w:val="11"/>
          <w:color w:val="auto"/>
        </w:rPr>
      </w:pPr>
      <w:r>
        <w:rPr>
          <w:rFonts w:ascii="Arial" w:cs="Arial" w:eastAsia="Arial" w:hAnsi="Arial"/>
          <w:sz w:val="14"/>
          <w:szCs w:val="14"/>
          <w:color w:val="auto"/>
        </w:rPr>
        <w:t>transfers pursuant to a bona fide third-party tender offer, merger, consolidation or other similar transaction involving all holders of the ADSs or ordinary shares in connection with a change of control of the Company, provided that in the event the tender offer, merger, consolidation or other such transaction is not completed, the securities shall remain subject to the lock-up restrictions.</w:t>
      </w:r>
    </w:p>
    <w:p>
      <w:pPr>
        <w:spacing w:after="0" w:line="7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addition, certain of our directors and officers may pledge, hypothecate, or grant of a security interest in lock-up securities as collateral for a bona fide loan or financing transaction, provided that (i) such arrangement does not result in a change of legal ownership (other than upon enforcement), (ii) the lender or counterparty acknowledges that the lock-up securities remain subject to the lock-up agreement and any transferee upon foreclosure or margin call during the restricted period signs a substantially similar lock-up agreement, and (iii) no public announcement or filing (other than required filing under Section 16) reporting a reduction in beneficial ownership of the lock-up securities is required or voluntarily made during the restricted period.</w:t>
      </w:r>
    </w:p>
    <w:p>
      <w:pPr>
        <w:spacing w:after="0" w:line="8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representatives, in their sole discretion, may release the ordinary shares, ADSs and other securities subject to the lock-up agreements described above in whole or in part at any time.</w:t>
      </w:r>
    </w:p>
    <w:p>
      <w:pPr>
        <w:spacing w:after="0" w:line="62"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80"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We and the underwriters have agreed to indemnify each other against certain liabilities, including liabilities under the Securities Act.</w:t>
      </w:r>
    </w:p>
    <w:p>
      <w:pPr>
        <w:spacing w:after="0" w:line="9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8" w:name="page289"/>
    <w:bookmarkEnd w:id="28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 may agree to allocate a number of ADSs to underwriters for sale to their online brokerage account holders. Internet distributions will be allocated by the representative to underwriters that may make Internet distributions on the same basis as other allocations.</w:t>
      </w:r>
    </w:p>
    <w:p>
      <w:pPr>
        <w:spacing w:after="0" w:line="84"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73"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Pricing of the Offering</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the general condition of the securities markets at the time of this offering, the recent market prices of, and demand for, publicly traded ordinary share of generally comparable companies, and other factors deemed relevant by the representatives and us. Neither we nor the underwriters can assure investors that an active trading market will develop for the ADSs, or that the ADSs will trade in the public market at or above the initial public offering price.</w:t>
      </w:r>
    </w:p>
    <w:p>
      <w:pPr>
        <w:spacing w:after="0" w:line="137"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Selling Restrictions</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Australia. </w:t>
      </w:r>
      <w:r>
        <w:rPr>
          <w:rFonts w:ascii="Arial" w:cs="Arial" w:eastAsia="Arial" w:hAnsi="Arial"/>
          <w:sz w:val="14"/>
          <w:szCs w:val="14"/>
          <w:color w:val="auto"/>
        </w:rPr>
        <w:t>This document has not been lodged with the Australian Securities &amp; Investments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Commission and is only directed to certain categories of exempt persons. Accordingly, if you receive this document in Australia:</w:t>
      </w:r>
    </w:p>
    <w:p>
      <w:pPr>
        <w:spacing w:after="0" w:line="66" w:lineRule="exact"/>
        <w:rPr>
          <w:sz w:val="20"/>
          <w:szCs w:val="20"/>
          <w:color w:val="auto"/>
        </w:rPr>
      </w:pPr>
    </w:p>
    <w:p>
      <w:pPr>
        <w:ind w:left="1900" w:hanging="236"/>
        <w:spacing w:after="0"/>
        <w:tabs>
          <w:tab w:leader="none" w:pos="19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you confirm and warrant that you are either a:</w:t>
      </w:r>
    </w:p>
    <w:p>
      <w:pPr>
        <w:spacing w:after="0" w:line="108" w:lineRule="exact"/>
        <w:rPr>
          <w:rFonts w:ascii="Arial" w:cs="Arial" w:eastAsia="Arial" w:hAnsi="Arial"/>
          <w:sz w:val="14"/>
          <w:szCs w:val="14"/>
          <w:color w:val="auto"/>
        </w:rPr>
      </w:pPr>
    </w:p>
    <w:p>
      <w:pPr>
        <w:ind w:left="2160" w:right="1398" w:hanging="247"/>
        <w:spacing w:after="0" w:line="271" w:lineRule="auto"/>
        <w:tabs>
          <w:tab w:leader="none" w:pos="2115" w:val="left"/>
        </w:tabs>
        <w:numPr>
          <w:ilvl w:val="1"/>
          <w:numId w:val="154"/>
        </w:numPr>
        <w:rPr>
          <w:rFonts w:ascii="Arial" w:cs="Arial" w:eastAsia="Arial" w:hAnsi="Arial"/>
          <w:sz w:val="14"/>
          <w:szCs w:val="14"/>
          <w:color w:val="auto"/>
        </w:rPr>
      </w:pPr>
      <w:r>
        <w:rPr>
          <w:rFonts w:ascii="Arial" w:cs="Arial" w:eastAsia="Arial" w:hAnsi="Arial"/>
          <w:sz w:val="14"/>
          <w:szCs w:val="14"/>
          <w:color w:val="auto"/>
        </w:rPr>
        <w:t>“sophisticated investor” under section 708(8)(a) or (b) of the Corporations Act 2001 (Cth) of Australia, or the Corporations Act;</w:t>
      </w:r>
    </w:p>
    <w:p>
      <w:pPr>
        <w:spacing w:after="0" w:line="8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89" w:name="page290"/>
    <w:bookmarkEnd w:id="28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2160" w:right="1398" w:hanging="247"/>
        <w:spacing w:after="0" w:line="245" w:lineRule="auto"/>
        <w:tabs>
          <w:tab w:leader="none" w:pos="211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79" w:lineRule="exact"/>
        <w:rPr>
          <w:rFonts w:ascii="Arial" w:cs="Arial" w:eastAsia="Arial" w:hAnsi="Arial"/>
          <w:sz w:val="14"/>
          <w:szCs w:val="14"/>
          <w:color w:val="auto"/>
        </w:rPr>
      </w:pPr>
    </w:p>
    <w:p>
      <w:pPr>
        <w:ind w:left="2120" w:hanging="207"/>
        <w:spacing w:after="0"/>
        <w:tabs>
          <w:tab w:leader="none" w:pos="21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person associated with the company under section 708(12) of the Corporations Act; or</w:t>
      </w:r>
    </w:p>
    <w:p>
      <w:pPr>
        <w:spacing w:after="0" w:line="108" w:lineRule="exact"/>
        <w:rPr>
          <w:rFonts w:ascii="Arial" w:cs="Arial" w:eastAsia="Arial" w:hAnsi="Arial"/>
          <w:sz w:val="14"/>
          <w:szCs w:val="14"/>
          <w:color w:val="auto"/>
        </w:rPr>
      </w:pPr>
    </w:p>
    <w:p>
      <w:pPr>
        <w:ind w:left="2160" w:right="1398" w:hanging="247"/>
        <w:spacing w:after="0" w:line="271" w:lineRule="auto"/>
        <w:tabs>
          <w:tab w:leader="none" w:pos="2128" w:val="left"/>
        </w:tabs>
        <w:numPr>
          <w:ilvl w:val="0"/>
          <w:numId w:val="155"/>
        </w:numPr>
        <w:rPr>
          <w:rFonts w:ascii="Arial" w:cs="Arial" w:eastAsia="Arial" w:hAnsi="Arial"/>
          <w:sz w:val="14"/>
          <w:szCs w:val="14"/>
          <w:color w:val="auto"/>
        </w:rPr>
      </w:pPr>
      <w:r>
        <w:rPr>
          <w:rFonts w:ascii="Arial" w:cs="Arial" w:eastAsia="Arial" w:hAnsi="Arial"/>
          <w:sz w:val="14"/>
          <w:szCs w:val="14"/>
          <w:color w:val="auto"/>
        </w:rPr>
        <w:t>“professional investor” within the meaning of section 708(11)(a) or (b) of the Corporations Act;</w:t>
      </w:r>
    </w:p>
    <w:p>
      <w:pPr>
        <w:spacing w:after="0" w:line="51" w:lineRule="exact"/>
        <w:rPr>
          <w:sz w:val="20"/>
          <w:szCs w:val="20"/>
          <w:color w:val="auto"/>
        </w:rPr>
      </w:pPr>
    </w:p>
    <w:p>
      <w:pPr>
        <w:jc w:val="both"/>
        <w:ind w:left="1660" w:right="1398"/>
        <w:spacing w:after="0" w:line="251" w:lineRule="auto"/>
        <w:rPr>
          <w:sz w:val="20"/>
          <w:szCs w:val="20"/>
          <w:color w:val="auto"/>
        </w:rPr>
      </w:pPr>
      <w:r>
        <w:rPr>
          <w:rFonts w:ascii="Arial" w:cs="Arial" w:eastAsia="Arial" w:hAnsi="Arial"/>
          <w:sz w:val="14"/>
          <w:szCs w:val="14"/>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76" w:lineRule="exact"/>
        <w:rPr>
          <w:sz w:val="20"/>
          <w:szCs w:val="20"/>
          <w:color w:val="auto"/>
        </w:rPr>
      </w:pPr>
    </w:p>
    <w:p>
      <w:pPr>
        <w:jc w:val="both"/>
        <w:ind w:left="1920" w:right="1398" w:hanging="256"/>
        <w:spacing w:after="0" w:line="245" w:lineRule="auto"/>
        <w:tabs>
          <w:tab w:leader="none" w:pos="1898" w:val="left"/>
        </w:tabs>
        <w:numPr>
          <w:ilvl w:val="0"/>
          <w:numId w:val="156"/>
        </w:numPr>
        <w:rPr>
          <w:rFonts w:ascii="Arial" w:cs="Arial" w:eastAsia="Arial" w:hAnsi="Arial"/>
          <w:sz w:val="14"/>
          <w:szCs w:val="14"/>
          <w:color w:val="auto"/>
        </w:rPr>
      </w:pPr>
      <w:r>
        <w:rPr>
          <w:rFonts w:ascii="Arial" w:cs="Arial" w:eastAsia="Arial" w:hAnsi="Arial"/>
          <w:sz w:val="14"/>
          <w:szCs w:val="14"/>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7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Canada. </w:t>
      </w:r>
      <w:r>
        <w:rPr>
          <w:rFonts w:ascii="Arial" w:cs="Arial" w:eastAsia="Arial" w:hAnsi="Arial"/>
          <w:sz w:val="14"/>
          <w:szCs w:val="14"/>
          <w:color w:val="auto"/>
        </w:rPr>
        <w:t>The ADSs may be sold in Canada only to purchasers resident or located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Provinces of 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7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Cayman Islands. </w:t>
      </w:r>
      <w:r>
        <w:rPr>
          <w:rFonts w:ascii="Arial" w:cs="Arial" w:eastAsia="Arial" w:hAnsi="Arial"/>
          <w:sz w:val="14"/>
          <w:szCs w:val="14"/>
          <w:color w:val="auto"/>
        </w:rPr>
        <w:t>This prospectus does not constitute an invitation or offer to the public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Cayman Islands of the ADSs, whether by way of sale or subscription. The underwriters have not offered or sold, and will not offer or sell, directly or indirectly, any ADSs in the Cayman Islands.</w:t>
      </w:r>
    </w:p>
    <w:p>
      <w:pPr>
        <w:spacing w:after="0" w:line="6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b w:val="1"/>
          <w:bCs w:val="1"/>
          <w:i w:val="1"/>
          <w:iCs w:val="1"/>
          <w:color w:val="auto"/>
        </w:rPr>
        <w:t xml:space="preserve">Dubai International Financial Center (“DIFC”). </w:t>
      </w:r>
      <w:r>
        <w:rPr>
          <w:rFonts w:ascii="Arial" w:cs="Arial" w:eastAsia="Arial" w:hAnsi="Arial"/>
          <w:sz w:val="14"/>
          <w:szCs w:val="14"/>
          <w:color w:val="auto"/>
        </w:rPr>
        <w:t>This prospectus relates to an Exempt Offer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1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0" w:name="page291"/>
    <w:bookmarkEnd w:id="29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7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European Economic Area. </w:t>
      </w:r>
      <w:r>
        <w:rPr>
          <w:rFonts w:ascii="Arial" w:cs="Arial" w:eastAsia="Arial" w:hAnsi="Arial"/>
          <w:sz w:val="14"/>
          <w:szCs w:val="14"/>
          <w:color w:val="auto"/>
        </w:rPr>
        <w:t>In relation to each Member State of the European Economic Area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w:t>
      </w:r>
    </w:p>
    <w:p>
      <w:pPr>
        <w:spacing w:after="0" w:line="86" w:lineRule="exact"/>
        <w:rPr>
          <w:sz w:val="20"/>
          <w:szCs w:val="20"/>
          <w:color w:val="auto"/>
        </w:rPr>
      </w:pPr>
    </w:p>
    <w:p>
      <w:pPr>
        <w:ind w:left="1920" w:hanging="256"/>
        <w:spacing w:after="0"/>
        <w:tabs>
          <w:tab w:leader="none" w:pos="19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any qualified investor as defined under Article 2 of the Prospectus Regulation;</w:t>
      </w:r>
    </w:p>
    <w:p>
      <w:pPr>
        <w:spacing w:after="0" w:line="98" w:lineRule="exact"/>
        <w:rPr>
          <w:rFonts w:ascii="Arial" w:cs="Arial" w:eastAsia="Arial" w:hAnsi="Arial"/>
          <w:sz w:val="14"/>
          <w:szCs w:val="14"/>
          <w:color w:val="auto"/>
        </w:rPr>
      </w:pPr>
    </w:p>
    <w:p>
      <w:pPr>
        <w:jc w:val="both"/>
        <w:ind w:left="1920" w:right="1398" w:hanging="256"/>
        <w:spacing w:after="0" w:line="251" w:lineRule="auto"/>
        <w:tabs>
          <w:tab w:leader="none" w:pos="189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75" w:lineRule="exact"/>
        <w:rPr>
          <w:rFonts w:ascii="Arial" w:cs="Arial" w:eastAsia="Arial" w:hAnsi="Arial"/>
          <w:sz w:val="14"/>
          <w:szCs w:val="14"/>
          <w:color w:val="auto"/>
        </w:rPr>
      </w:pPr>
    </w:p>
    <w:p>
      <w:pPr>
        <w:ind w:left="1900" w:hanging="236"/>
        <w:spacing w:after="0"/>
        <w:tabs>
          <w:tab w:leader="none" w:pos="190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09" w:lineRule="exact"/>
        <w:rPr>
          <w:sz w:val="20"/>
          <w:szCs w:val="20"/>
          <w:color w:val="auto"/>
        </w:rPr>
      </w:pPr>
    </w:p>
    <w:p>
      <w:pPr>
        <w:jc w:val="both"/>
        <w:ind w:left="1420" w:right="1398"/>
        <w:spacing w:after="0" w:line="235" w:lineRule="auto"/>
        <w:rPr>
          <w:sz w:val="20"/>
          <w:szCs w:val="20"/>
          <w:color w:val="auto"/>
        </w:rPr>
      </w:pPr>
      <w:r>
        <w:rPr>
          <w:rFonts w:ascii="Arial" w:cs="Arial" w:eastAsia="Arial" w:hAnsi="Arial"/>
          <w:sz w:val="14"/>
          <w:szCs w:val="14"/>
          <w:color w:val="auto"/>
        </w:rPr>
        <w:t>provided that no such offer of ADSs shall require us or any underwriter to publish a prospectus pursuant to Article 3 of the Prospectus Regulation, supplement a prospectus pursuant to Article 23 of the Prospectus Regulation or publish an Annex IX document pursuant to Article 1(4) of the Prospectus Regulation and each person who initially acquires any ADSs or to whom any offer is made will be deemed to have represented, acknowledged and agreed to and with each of the underwriters and the Company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65"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63"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b w:val="1"/>
          <w:bCs w:val="1"/>
          <w:i w:val="1"/>
          <w:iCs w:val="1"/>
          <w:color w:val="auto"/>
        </w:rPr>
        <w:t xml:space="preserve">MIFID II product governance/Professional investors and ECPs only target market. </w:t>
      </w:r>
      <w:r>
        <w:rPr>
          <w:rFonts w:ascii="Arial" w:cs="Arial" w:eastAsia="Arial" w:hAnsi="Arial"/>
          <w:sz w:val="14"/>
          <w:szCs w:val="14"/>
          <w:color w:val="auto"/>
        </w:rPr>
        <w:t>Solely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purposes of the manufacturer’s product approval process, the target market assessment in respect of the ADSs has led to the conclusion that: (i) the target market for the ADSs is eligible counterparties and professional clients only, each as defined in Directive 2014/65/EU (as amended, “MiFID II”); and (ii) all channels for distribution of the ADSs to eligible counterparties and professional clients are appropriate. Any person subsequently offering, selling or recommending the ADSs (a “distributor”) should take into consideration the manufacturer’s target market assessment; however, a distributor subject to MiFID II is responsible for undertaking its own target market assessment in respect of the ADSs (by either adopting or refining the manufacturer’s target market assessment) and determining appropriate distribution channels.</w:t>
      </w:r>
    </w:p>
    <w:p>
      <w:pPr>
        <w:spacing w:after="0" w:line="7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b w:val="1"/>
          <w:bCs w:val="1"/>
          <w:i w:val="1"/>
          <w:iCs w:val="1"/>
          <w:color w:val="auto"/>
        </w:rPr>
        <w:t xml:space="preserve">France. </w:t>
      </w:r>
      <w:r>
        <w:rPr>
          <w:rFonts w:ascii="Arial" w:cs="Arial" w:eastAsia="Arial" w:hAnsi="Arial"/>
          <w:sz w:val="14"/>
          <w:szCs w:val="14"/>
          <w:color w:val="auto"/>
        </w:rPr>
        <w:t>Neither this prospectus nor any other offering material relating to the ADSs described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this prospectus has been submitted to the clearance procedures of the Autorité des Marchés Financiers or of the competent authority of another member state of the European Economic Area</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1" w:name="page292"/>
    <w:bookmarkEnd w:id="29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8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55" w:lineRule="exact"/>
        <w:rPr>
          <w:sz w:val="20"/>
          <w:szCs w:val="20"/>
          <w:color w:val="auto"/>
        </w:rPr>
      </w:pPr>
    </w:p>
    <w:p>
      <w:pPr>
        <w:ind w:left="1800" w:hanging="136"/>
        <w:spacing w:after="0"/>
        <w:tabs>
          <w:tab w:leader="none" w:pos="1800" w:val="left"/>
        </w:tabs>
        <w:numPr>
          <w:ilvl w:val="0"/>
          <w:numId w:val="158"/>
        </w:numPr>
        <w:rPr>
          <w:rFonts w:ascii="Arial" w:cs="Arial" w:eastAsia="Arial" w:hAnsi="Arial"/>
          <w:sz w:val="11"/>
          <w:szCs w:val="11"/>
          <w:color w:val="auto"/>
        </w:rPr>
      </w:pPr>
      <w:r>
        <w:rPr>
          <w:rFonts w:ascii="Arial" w:cs="Arial" w:eastAsia="Arial" w:hAnsi="Arial"/>
          <w:sz w:val="14"/>
          <w:szCs w:val="14"/>
          <w:color w:val="auto"/>
        </w:rPr>
        <w:t>to any legal entity which is a qualified investor as defined in the Prospectus Directive;</w:t>
      </w:r>
    </w:p>
    <w:p>
      <w:pPr>
        <w:spacing w:after="0" w:line="98" w:lineRule="exact"/>
        <w:rPr>
          <w:rFonts w:ascii="Arial" w:cs="Arial" w:eastAsia="Arial" w:hAnsi="Arial"/>
          <w:sz w:val="11"/>
          <w:szCs w:val="11"/>
          <w:color w:val="auto"/>
        </w:rPr>
      </w:pPr>
    </w:p>
    <w:p>
      <w:pPr>
        <w:jc w:val="both"/>
        <w:ind w:left="1800" w:right="1398" w:hanging="136"/>
        <w:spacing w:after="0" w:line="241" w:lineRule="auto"/>
        <w:tabs>
          <w:tab w:leader="none" w:pos="1804" w:val="left"/>
        </w:tabs>
        <w:numPr>
          <w:ilvl w:val="0"/>
          <w:numId w:val="158"/>
        </w:numPr>
        <w:rPr>
          <w:rFonts w:ascii="Arial" w:cs="Arial" w:eastAsia="Arial" w:hAnsi="Arial"/>
          <w:sz w:val="11"/>
          <w:szCs w:val="11"/>
          <w:color w:val="auto"/>
        </w:rPr>
      </w:pPr>
      <w:r>
        <w:rPr>
          <w:rFonts w:ascii="Arial" w:cs="Arial" w:eastAsia="Arial" w:hAnsi="Arial"/>
          <w:sz w:val="14"/>
          <w:szCs w:val="14"/>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w:t>
      </w:r>
    </w:p>
    <w:p>
      <w:pPr>
        <w:spacing w:after="0" w:line="63" w:lineRule="exact"/>
        <w:rPr>
          <w:rFonts w:ascii="Arial" w:cs="Arial" w:eastAsia="Arial" w:hAnsi="Arial"/>
          <w:sz w:val="11"/>
          <w:szCs w:val="11"/>
          <w:color w:val="auto"/>
        </w:rPr>
      </w:pPr>
    </w:p>
    <w:p>
      <w:pPr>
        <w:ind w:left="1800" w:hanging="136"/>
        <w:spacing w:after="0"/>
        <w:tabs>
          <w:tab w:leader="none" w:pos="1800" w:val="left"/>
        </w:tabs>
        <w:numPr>
          <w:ilvl w:val="0"/>
          <w:numId w:val="158"/>
        </w:numPr>
        <w:rPr>
          <w:rFonts w:ascii="Arial" w:cs="Arial" w:eastAsia="Arial" w:hAnsi="Arial"/>
          <w:sz w:val="11"/>
          <w:szCs w:val="11"/>
          <w:color w:val="auto"/>
        </w:rPr>
      </w:pPr>
      <w:r>
        <w:rPr>
          <w:rFonts w:ascii="Arial" w:cs="Arial" w:eastAsia="Arial" w:hAnsi="Arial"/>
          <w:sz w:val="14"/>
          <w:szCs w:val="14"/>
          <w:color w:val="auto"/>
        </w:rPr>
        <w:t>in any other circumstances falling within Article 3(2) of the Prospectus Directive;</w:t>
      </w:r>
    </w:p>
    <w:p>
      <w:pPr>
        <w:spacing w:after="0" w:line="8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58"/>
        </w:numPr>
        <w:rPr>
          <w:rFonts w:ascii="Arial" w:cs="Arial" w:eastAsia="Arial" w:hAnsi="Arial"/>
          <w:sz w:val="11"/>
          <w:szCs w:val="11"/>
          <w:color w:val="auto"/>
        </w:rPr>
      </w:pPr>
      <w:r>
        <w:rPr>
          <w:rFonts w:ascii="Arial" w:cs="Arial" w:eastAsia="Arial" w:hAnsi="Arial"/>
          <w:sz w:val="14"/>
          <w:szCs w:val="14"/>
          <w:color w:val="auto"/>
        </w:rPr>
        <w:t>released, issued, distributed or caused to be released, issued or distributed to the public in France; or</w:t>
      </w:r>
    </w:p>
    <w:p>
      <w:pPr>
        <w:spacing w:after="0" w:line="51" w:lineRule="exact"/>
        <w:rPr>
          <w:rFonts w:ascii="Arial" w:cs="Arial" w:eastAsia="Arial" w:hAnsi="Arial"/>
          <w:sz w:val="11"/>
          <w:szCs w:val="11"/>
          <w:color w:val="auto"/>
        </w:rPr>
      </w:pPr>
    </w:p>
    <w:p>
      <w:pPr>
        <w:ind w:left="1660" w:right="1578" w:firstLine="4"/>
        <w:spacing w:after="0" w:line="371" w:lineRule="auto"/>
        <w:tabs>
          <w:tab w:leader="none" w:pos="1803" w:val="left"/>
        </w:tabs>
        <w:numPr>
          <w:ilvl w:val="0"/>
          <w:numId w:val="158"/>
        </w:numPr>
        <w:rPr>
          <w:rFonts w:ascii="Arial" w:cs="Arial" w:eastAsia="Arial" w:hAnsi="Arial"/>
          <w:sz w:val="11"/>
          <w:szCs w:val="11"/>
          <w:color w:val="auto"/>
        </w:rPr>
      </w:pPr>
      <w:r>
        <w:rPr>
          <w:rFonts w:ascii="Arial" w:cs="Arial" w:eastAsia="Arial" w:hAnsi="Arial"/>
          <w:sz w:val="14"/>
          <w:szCs w:val="14"/>
          <w:color w:val="auto"/>
        </w:rPr>
        <w:t>used in connection with any offer for subscription or sale of the ADSs to the public in France. Such offers, sales and distributions will be made in France only:</w:t>
      </w:r>
    </w:p>
    <w:p>
      <w:pPr>
        <w:jc w:val="both"/>
        <w:ind w:left="1800" w:right="1398" w:hanging="136"/>
        <w:spacing w:after="0" w:line="245" w:lineRule="auto"/>
        <w:tabs>
          <w:tab w:leader="none" w:pos="1804" w:val="left"/>
        </w:tabs>
        <w:numPr>
          <w:ilvl w:val="0"/>
          <w:numId w:val="158"/>
        </w:numPr>
        <w:rPr>
          <w:rFonts w:ascii="Arial" w:cs="Arial" w:eastAsia="Arial" w:hAnsi="Arial"/>
          <w:sz w:val="11"/>
          <w:szCs w:val="11"/>
          <w:color w:val="auto"/>
        </w:rPr>
      </w:pPr>
      <w:r>
        <w:rPr>
          <w:rFonts w:ascii="Arial" w:cs="Arial" w:eastAsia="Arial" w:hAnsi="Arial"/>
          <w:sz w:val="14"/>
          <w:szCs w:val="14"/>
          <w:color w:val="auto"/>
        </w:rPr>
        <w:t>to qualified investors (</w:t>
      </w:r>
      <w:r>
        <w:rPr>
          <w:rFonts w:ascii="Arial" w:cs="Arial" w:eastAsia="Arial" w:hAnsi="Arial"/>
          <w:sz w:val="14"/>
          <w:szCs w:val="14"/>
          <w:i w:val="1"/>
          <w:iCs w:val="1"/>
          <w:color w:val="auto"/>
        </w:rPr>
        <w:t>investisseurs qualifiés</w:t>
      </w:r>
      <w:r>
        <w:rPr>
          <w:rFonts w:ascii="Arial" w:cs="Arial" w:eastAsia="Arial" w:hAnsi="Arial"/>
          <w:sz w:val="14"/>
          <w:szCs w:val="14"/>
          <w:color w:val="auto"/>
        </w:rPr>
        <w:t>) and/or to a restricted circle of investors (</w:t>
      </w:r>
      <w:r>
        <w:rPr>
          <w:rFonts w:ascii="Arial" w:cs="Arial" w:eastAsia="Arial" w:hAnsi="Arial"/>
          <w:sz w:val="14"/>
          <w:szCs w:val="14"/>
          <w:i w:val="1"/>
          <w:iCs w:val="1"/>
          <w:color w:val="auto"/>
        </w:rPr>
        <w:t>cercle</w:t>
      </w:r>
      <w:r>
        <w:rPr>
          <w:rFonts w:ascii="Arial" w:cs="Arial" w:eastAsia="Arial" w:hAnsi="Arial"/>
          <w:sz w:val="14"/>
          <w:szCs w:val="14"/>
          <w:color w:val="auto"/>
        </w:rPr>
        <w:t xml:space="preserve"> </w:t>
      </w:r>
      <w:r>
        <w:rPr>
          <w:rFonts w:ascii="Arial" w:cs="Arial" w:eastAsia="Arial" w:hAnsi="Arial"/>
          <w:sz w:val="14"/>
          <w:szCs w:val="14"/>
          <w:i w:val="1"/>
          <w:iCs w:val="1"/>
          <w:color w:val="auto"/>
        </w:rPr>
        <w:t>restreint d’investisseurs</w:t>
      </w:r>
      <w:r>
        <w:rPr>
          <w:rFonts w:ascii="Arial" w:cs="Arial" w:eastAsia="Arial" w:hAnsi="Arial"/>
          <w:sz w:val="14"/>
          <w:szCs w:val="14"/>
          <w:color w:val="auto"/>
        </w:rPr>
        <w:t>), in each case investing for their own account, all as defined in, and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articles L.411-2, D.411-1, D.411-2, D.734-1, D.744-1, D.754-1 and D.764-1 of the French Code monétaire et financier;</w:t>
      </w:r>
    </w:p>
    <w:p>
      <w:pPr>
        <w:spacing w:after="0" w:line="68"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58"/>
        </w:numPr>
        <w:rPr>
          <w:rFonts w:ascii="Arial" w:cs="Arial" w:eastAsia="Arial" w:hAnsi="Arial"/>
          <w:sz w:val="11"/>
          <w:szCs w:val="11"/>
          <w:color w:val="auto"/>
        </w:rPr>
      </w:pPr>
      <w:r>
        <w:rPr>
          <w:rFonts w:ascii="Arial" w:cs="Arial" w:eastAsia="Arial" w:hAnsi="Arial"/>
          <w:sz w:val="14"/>
          <w:szCs w:val="14"/>
          <w:color w:val="auto"/>
        </w:rPr>
        <w:t>to investment services providers authorized to engage in portfolio management on behalf of third parties; or</w:t>
      </w:r>
    </w:p>
    <w:p>
      <w:pPr>
        <w:spacing w:after="0" w:line="41" w:lineRule="exact"/>
        <w:rPr>
          <w:rFonts w:ascii="Arial" w:cs="Arial" w:eastAsia="Arial" w:hAnsi="Arial"/>
          <w:sz w:val="11"/>
          <w:szCs w:val="11"/>
          <w:color w:val="auto"/>
        </w:rPr>
      </w:pPr>
    </w:p>
    <w:p>
      <w:pPr>
        <w:jc w:val="both"/>
        <w:ind w:left="1800" w:right="1398" w:hanging="136"/>
        <w:spacing w:after="0" w:line="280" w:lineRule="auto"/>
        <w:tabs>
          <w:tab w:leader="none" w:pos="1804" w:val="left"/>
        </w:tabs>
        <w:numPr>
          <w:ilvl w:val="0"/>
          <w:numId w:val="158"/>
        </w:numPr>
        <w:rPr>
          <w:rFonts w:ascii="Arial" w:cs="Arial" w:eastAsia="Arial" w:hAnsi="Arial"/>
          <w:sz w:val="10"/>
          <w:szCs w:val="10"/>
          <w:color w:val="auto"/>
        </w:rPr>
      </w:pPr>
      <w:r>
        <w:rPr>
          <w:rFonts w:ascii="Arial" w:cs="Arial" w:eastAsia="Arial" w:hAnsi="Arial"/>
          <w:sz w:val="13"/>
          <w:szCs w:val="13"/>
          <w:color w:val="auto"/>
        </w:rPr>
        <w:t>in a transaction that, in accordance with article L.411-2-II-1° -or-2° -or 3° of the French Code monétaire et financier and article 211-2 of the General Regulations (</w:t>
      </w:r>
      <w:r>
        <w:rPr>
          <w:rFonts w:ascii="Arial" w:cs="Arial" w:eastAsia="Arial" w:hAnsi="Arial"/>
          <w:sz w:val="13"/>
          <w:szCs w:val="13"/>
          <w:i w:val="1"/>
          <w:iCs w:val="1"/>
          <w:color w:val="auto"/>
        </w:rPr>
        <w:t>Règlement Général</w:t>
      </w:r>
      <w:r>
        <w:rPr>
          <w:rFonts w:ascii="Arial" w:cs="Arial" w:eastAsia="Arial" w:hAnsi="Arial"/>
          <w:sz w:val="13"/>
          <w:szCs w:val="13"/>
          <w:color w:val="auto"/>
        </w:rPr>
        <w:t>) of the Autorité des Marchés Financiers, does not constitute a public offer (</w:t>
      </w:r>
      <w:r>
        <w:rPr>
          <w:rFonts w:ascii="Arial" w:cs="Arial" w:eastAsia="Arial" w:hAnsi="Arial"/>
          <w:sz w:val="13"/>
          <w:szCs w:val="13"/>
          <w:i w:val="1"/>
          <w:iCs w:val="1"/>
          <w:color w:val="auto"/>
        </w:rPr>
        <w:t>appel public à l’épargne</w:t>
      </w:r>
      <w:r>
        <w:rPr>
          <w:rFonts w:ascii="Arial" w:cs="Arial" w:eastAsia="Arial" w:hAnsi="Arial"/>
          <w:sz w:val="13"/>
          <w:szCs w:val="13"/>
          <w:color w:val="auto"/>
        </w:rPr>
        <w:t>).</w:t>
      </w:r>
    </w:p>
    <w:p>
      <w:pPr>
        <w:spacing w:after="0" w:line="3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ADSs may be resold directly or indirectly, only in compliance with articles L.411-1, L.411-2, L.412-1 and L.621-8 through L.621-8-3 of the French Code monétaire et financier.</w:t>
      </w:r>
    </w:p>
    <w:p>
      <w:pPr>
        <w:spacing w:after="0" w:line="62"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b w:val="1"/>
          <w:bCs w:val="1"/>
          <w:i w:val="1"/>
          <w:iCs w:val="1"/>
          <w:color w:val="auto"/>
        </w:rPr>
        <w:t xml:space="preserve">Germany. </w:t>
      </w:r>
      <w:r>
        <w:rPr>
          <w:rFonts w:ascii="Arial" w:cs="Arial" w:eastAsia="Arial" w:hAnsi="Arial"/>
          <w:sz w:val="14"/>
          <w:szCs w:val="14"/>
          <w:color w:val="auto"/>
        </w:rPr>
        <w:t>This prospectus does not constitute a Prospectus Directive-compliant prospectus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accordance with the German Securities Prospectus Act (</w:t>
      </w:r>
      <w:r>
        <w:rPr>
          <w:rFonts w:ascii="Arial" w:cs="Arial" w:eastAsia="Arial" w:hAnsi="Arial"/>
          <w:sz w:val="14"/>
          <w:szCs w:val="14"/>
          <w:i w:val="1"/>
          <w:iCs w:val="1"/>
          <w:color w:val="auto"/>
        </w:rPr>
        <w:t>Wertpapierprospektgesetz</w:t>
      </w:r>
      <w:r>
        <w:rPr>
          <w:rFonts w:ascii="Arial" w:cs="Arial" w:eastAsia="Arial" w:hAnsi="Arial"/>
          <w:sz w:val="14"/>
          <w:szCs w:val="14"/>
          <w:color w:val="auto"/>
        </w:rPr>
        <w:t>)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t>
      </w:r>
      <w:r>
        <w:rPr>
          <w:rFonts w:ascii="Arial" w:cs="Arial" w:eastAsia="Arial" w:hAnsi="Arial"/>
          <w:sz w:val="14"/>
          <w:szCs w:val="14"/>
          <w:i w:val="1"/>
          <w:iCs w:val="1"/>
          <w:color w:val="auto"/>
        </w:rPr>
        <w:t>Wertpapierprospekt</w:t>
      </w:r>
      <w:r>
        <w:rPr>
          <w:rFonts w:ascii="Arial" w:cs="Arial" w:eastAsia="Arial" w:hAnsi="Arial"/>
          <w:sz w:val="14"/>
          <w:szCs w:val="14"/>
          <w:color w:val="auto"/>
        </w:rPr>
        <w:t>) within the meaning of the German Securities Prospectus Act or any other applicable laws of Germany, has been or will be published within Germany, nor has this prospectus been filed with or approved by the German Federal Financial Supervisory Authority (</w:t>
      </w:r>
      <w:r>
        <w:rPr>
          <w:rFonts w:ascii="Arial" w:cs="Arial" w:eastAsia="Arial" w:hAnsi="Arial"/>
          <w:sz w:val="14"/>
          <w:szCs w:val="14"/>
          <w:i w:val="1"/>
          <w:iCs w:val="1"/>
          <w:color w:val="auto"/>
        </w:rPr>
        <w:t>Bundesanstalt für Finanzdienstleistungsaufsicht</w:t>
      </w:r>
      <w:r>
        <w:rPr>
          <w:rFonts w:ascii="Arial" w:cs="Arial" w:eastAsia="Arial" w:hAnsi="Arial"/>
          <w:sz w:val="14"/>
          <w:szCs w:val="14"/>
          <w:color w:val="auto"/>
        </w:rPr>
        <w:t>) for publication within Germany.</w:t>
      </w:r>
    </w:p>
    <w:p>
      <w:pPr>
        <w:spacing w:after="0" w:line="87"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Each underwriter will represent, agree and undertake, (i) that it has not offered, sold or delivered and will not offer, sell or deliver the ADSs within Germany other than in accordance with the German Securities Prospectus Act (</w:t>
      </w:r>
      <w:r>
        <w:rPr>
          <w:rFonts w:ascii="Arial" w:cs="Arial" w:eastAsia="Arial" w:hAnsi="Arial"/>
          <w:sz w:val="14"/>
          <w:szCs w:val="14"/>
          <w:i w:val="1"/>
          <w:iCs w:val="1"/>
          <w:color w:val="auto"/>
        </w:rPr>
        <w:t>Wertpapierprospektgesetz</w:t>
      </w:r>
      <w:r>
        <w:rPr>
          <w:rFonts w:ascii="Arial" w:cs="Arial" w:eastAsia="Arial" w:hAnsi="Arial"/>
          <w:sz w:val="14"/>
          <w:szCs w:val="14"/>
          <w:color w:val="auto"/>
        </w:rPr>
        <w:t>)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This prospectus is strictly for use of the person who has received it. It may not be forwarded to other persons or published in Germany.</w:t>
      </w:r>
    </w:p>
    <w:p>
      <w:pPr>
        <w:spacing w:after="0" w:line="62"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b w:val="1"/>
          <w:bCs w:val="1"/>
          <w:i w:val="1"/>
          <w:iCs w:val="1"/>
          <w:color w:val="auto"/>
        </w:rPr>
        <w:t xml:space="preserve">Hong Kong. </w:t>
      </w:r>
      <w:r>
        <w:rPr>
          <w:rFonts w:ascii="Arial" w:cs="Arial" w:eastAsia="Arial" w:hAnsi="Arial"/>
          <w:sz w:val="13"/>
          <w:szCs w:val="13"/>
          <w:color w:val="auto"/>
        </w:rPr>
        <w:t>The ADSs may not be offered or sold in Hong Kong by means of any document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 than (1) in circumstances which do not constitute an offer to the public within the meaning of the Companies (Winding Up and Miscellaneous Provisions) Ordinance (Cap.32, Laws of Hong Kong), or</w:t>
      </w:r>
    </w:p>
    <w:p>
      <w:pPr>
        <w:spacing w:after="0" w:line="79"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2" w:name="page293"/>
    <w:bookmarkEnd w:id="29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hanging="5"/>
        <w:spacing w:after="0" w:line="236" w:lineRule="auto"/>
        <w:tabs>
          <w:tab w:leader="none" w:pos="1636"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85"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b w:val="1"/>
          <w:bCs w:val="1"/>
          <w:i w:val="1"/>
          <w:iCs w:val="1"/>
          <w:color w:val="auto"/>
        </w:rPr>
        <w:t xml:space="preserve">Israel. </w:t>
      </w:r>
      <w:r>
        <w:rPr>
          <w:rFonts w:ascii="Arial" w:cs="Arial" w:eastAsia="Arial" w:hAnsi="Arial"/>
          <w:sz w:val="13"/>
          <w:szCs w:val="13"/>
          <w:color w:val="auto"/>
        </w:rPr>
        <w:t>The ADSs offered by this prospectus have not been approved or disapproved by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Israeli Securities Authority (the ISA), nor has it been registered for sale in Israel. The ADSs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ADSs being offered. Any resale in Israel, directly or indirectly, to the public of the ADSs offered by this prospectus is subject to restrictions on transferability and must be effected only in compliance with the Israeli securities laws and regulations.</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b w:val="1"/>
          <w:bCs w:val="1"/>
          <w:i w:val="1"/>
          <w:iCs w:val="1"/>
          <w:color w:val="auto"/>
        </w:rPr>
        <w:t xml:space="preserve">Italy. </w:t>
      </w:r>
      <w:r>
        <w:rPr>
          <w:rFonts w:ascii="Arial" w:cs="Arial" w:eastAsia="Arial" w:hAnsi="Arial"/>
          <w:sz w:val="14"/>
          <w:szCs w:val="14"/>
          <w:color w:val="auto"/>
        </w:rPr>
        <w:t>The offering of ADSs has not been registered with the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Commissione Nazionale per le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Società e la Borsa </w:t>
      </w:r>
      <w:r>
        <w:rPr>
          <w:rFonts w:ascii="Arial" w:cs="Arial" w:eastAsia="Arial" w:hAnsi="Arial"/>
          <w:sz w:val="14"/>
          <w:szCs w:val="14"/>
          <w:color w:val="auto"/>
        </w:rPr>
        <w:t>(“CONSOB”) pursuant to Italian securities legislation and, accordingly, no ADSs</w:t>
      </w:r>
      <w:r>
        <w:rPr>
          <w:rFonts w:ascii="Arial" w:cs="Arial" w:eastAsia="Arial" w:hAnsi="Arial"/>
          <w:sz w:val="14"/>
          <w:szCs w:val="14"/>
          <w:i w:val="1"/>
          <w:iCs w:val="1"/>
          <w:color w:val="auto"/>
        </w:rPr>
        <w:t xml:space="preserve"> </w:t>
      </w:r>
      <w:r>
        <w:rPr>
          <w:rFonts w:ascii="Arial" w:cs="Arial" w:eastAsia="Arial" w:hAnsi="Arial"/>
          <w:sz w:val="14"/>
          <w:szCs w:val="14"/>
          <w:color w:val="auto"/>
        </w:rPr>
        <w:t>may be offered, sold or delivered, nor copies of this prospectus or any other documents relating to the ADSs may not be distributed in Italy except:</w:t>
      </w:r>
    </w:p>
    <w:p>
      <w:pPr>
        <w:spacing w:after="0" w:line="69" w:lineRule="exact"/>
        <w:rPr>
          <w:sz w:val="20"/>
          <w:szCs w:val="20"/>
          <w:color w:val="auto"/>
        </w:rPr>
      </w:pPr>
    </w:p>
    <w:p>
      <w:pPr>
        <w:jc w:val="both"/>
        <w:ind w:left="1800" w:right="1398" w:hanging="136"/>
        <w:spacing w:after="0" w:line="241" w:lineRule="auto"/>
        <w:tabs>
          <w:tab w:leader="none" w:pos="1804" w:val="left"/>
        </w:tabs>
        <w:numPr>
          <w:ilvl w:val="0"/>
          <w:numId w:val="160"/>
        </w:numPr>
        <w:rPr>
          <w:rFonts w:ascii="Arial" w:cs="Arial" w:eastAsia="Arial" w:hAnsi="Arial"/>
          <w:sz w:val="11"/>
          <w:szCs w:val="11"/>
          <w:color w:val="auto"/>
        </w:rPr>
      </w:pPr>
      <w:r>
        <w:rPr>
          <w:rFonts w:ascii="Arial" w:cs="Arial" w:eastAsia="Arial" w:hAnsi="Arial"/>
          <w:sz w:val="14"/>
          <w:szCs w:val="14"/>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84"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60"/>
        </w:numPr>
        <w:rPr>
          <w:rFonts w:ascii="Arial" w:cs="Arial" w:eastAsia="Arial" w:hAnsi="Arial"/>
          <w:sz w:val="11"/>
          <w:szCs w:val="11"/>
          <w:color w:val="auto"/>
        </w:rPr>
      </w:pPr>
      <w:r>
        <w:rPr>
          <w:rFonts w:ascii="Arial" w:cs="Arial" w:eastAsia="Arial" w:hAnsi="Arial"/>
          <w:sz w:val="14"/>
          <w:szCs w:val="14"/>
          <w:color w:val="auto"/>
        </w:rPr>
        <w:t>in any other circumstances where an express exemption from compliance with the offer restrictions applies, as provided under Decree No. 58 or Regulation No. 11971.</w:t>
      </w:r>
    </w:p>
    <w:p>
      <w:pPr>
        <w:spacing w:after="0" w:line="62"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Any offer, sale or delivery of the ADSs or distribution of copies of this prospectus or any other documents relating to the ADSs in the Republic of Italy must be:</w:t>
      </w:r>
    </w:p>
    <w:p>
      <w:pPr>
        <w:spacing w:after="0" w:line="51" w:lineRule="exact"/>
        <w:rPr>
          <w:sz w:val="20"/>
          <w:szCs w:val="20"/>
          <w:color w:val="auto"/>
        </w:rPr>
      </w:pPr>
    </w:p>
    <w:p>
      <w:pPr>
        <w:jc w:val="both"/>
        <w:ind w:left="1800" w:right="1398" w:hanging="136"/>
        <w:spacing w:after="0" w:line="245" w:lineRule="auto"/>
        <w:tabs>
          <w:tab w:leader="none" w:pos="1804" w:val="left"/>
        </w:tabs>
        <w:numPr>
          <w:ilvl w:val="0"/>
          <w:numId w:val="161"/>
        </w:numPr>
        <w:rPr>
          <w:rFonts w:ascii="Arial" w:cs="Arial" w:eastAsia="Arial" w:hAnsi="Arial"/>
          <w:sz w:val="11"/>
          <w:szCs w:val="11"/>
          <w:color w:val="auto"/>
        </w:rPr>
      </w:pPr>
      <w:r>
        <w:rPr>
          <w:rFonts w:ascii="Arial" w:cs="Arial" w:eastAsia="Arial" w:hAnsi="Arial"/>
          <w:sz w:val="14"/>
          <w:szCs w:val="14"/>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79"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61"/>
        </w:numPr>
        <w:rPr>
          <w:rFonts w:ascii="Arial" w:cs="Arial" w:eastAsia="Arial" w:hAnsi="Arial"/>
          <w:sz w:val="11"/>
          <w:szCs w:val="11"/>
          <w:color w:val="auto"/>
        </w:rPr>
      </w:pPr>
      <w:r>
        <w:rPr>
          <w:rFonts w:ascii="Arial" w:cs="Arial" w:eastAsia="Arial" w:hAnsi="Arial"/>
          <w:sz w:val="14"/>
          <w:szCs w:val="14"/>
          <w:color w:val="auto"/>
        </w:rPr>
        <w:t>in compliance with Article 129 of the Banking Law, and the implementing guidelines of the Bank of Italy, as amended; and</w:t>
      </w:r>
    </w:p>
    <w:p>
      <w:pPr>
        <w:spacing w:after="0" w:line="61" w:lineRule="exact"/>
        <w:rPr>
          <w:rFonts w:ascii="Arial" w:cs="Arial" w:eastAsia="Arial" w:hAnsi="Arial"/>
          <w:sz w:val="11"/>
          <w:szCs w:val="11"/>
          <w:color w:val="auto"/>
        </w:rPr>
      </w:pPr>
    </w:p>
    <w:p>
      <w:pPr>
        <w:ind w:left="1800" w:right="1398" w:hanging="136"/>
        <w:spacing w:after="0" w:line="271" w:lineRule="auto"/>
        <w:tabs>
          <w:tab w:leader="none" w:pos="1804" w:val="left"/>
        </w:tabs>
        <w:numPr>
          <w:ilvl w:val="0"/>
          <w:numId w:val="161"/>
        </w:numPr>
        <w:rPr>
          <w:rFonts w:ascii="Arial" w:cs="Arial" w:eastAsia="Arial" w:hAnsi="Arial"/>
          <w:sz w:val="11"/>
          <w:szCs w:val="11"/>
          <w:color w:val="auto"/>
        </w:rPr>
      </w:pPr>
      <w:r>
        <w:rPr>
          <w:rFonts w:ascii="Arial" w:cs="Arial" w:eastAsia="Arial" w:hAnsi="Arial"/>
          <w:sz w:val="14"/>
          <w:szCs w:val="14"/>
          <w:color w:val="auto"/>
        </w:rPr>
        <w:t>in compliance with any other applicable notification requirement or limitation which may be imposed, from time to time, by CONSOB or the Bank of Italy or other competent authority.</w:t>
      </w:r>
    </w:p>
    <w:p>
      <w:pPr>
        <w:spacing w:after="0" w:line="51"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Please note that, in accordance with Article 100 -bis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7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w:t>
      </w:r>
    </w:p>
    <w:p>
      <w:pPr>
        <w:spacing w:after="0" w:line="9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3" w:name="page294"/>
    <w:bookmarkEnd w:id="29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Japan. </w:t>
      </w:r>
      <w:r>
        <w:rPr>
          <w:rFonts w:ascii="Arial" w:cs="Arial" w:eastAsia="Arial" w:hAnsi="Arial"/>
          <w:sz w:val="14"/>
          <w:szCs w:val="14"/>
          <w:color w:val="auto"/>
        </w:rPr>
        <w:t>The ADSs have not been and will not be registered under the Financial Instruments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8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b w:val="1"/>
          <w:bCs w:val="1"/>
          <w:i w:val="1"/>
          <w:iCs w:val="1"/>
          <w:color w:val="auto"/>
        </w:rPr>
        <w:t xml:space="preserve">Korea. </w:t>
      </w:r>
      <w:r>
        <w:rPr>
          <w:rFonts w:ascii="Arial" w:cs="Arial" w:eastAsia="Arial" w:hAnsi="Arial"/>
          <w:sz w:val="14"/>
          <w:szCs w:val="14"/>
          <w:color w:val="auto"/>
        </w:rPr>
        <w:t>The ADSs may not be offered, sold and delivered directly or indirectly, or offered or sold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and will not be registered under the Financial Investment Services and Capital Markets Act of Korea and the decrees and regulations thereunder, and the ADSs have been and will be offered in Korea as a private placement under the FSCMA. Furthermore, the purchaser of the ADSs shall comply with all applicable regulatory requirements (including but not limited to government approval requirements under the Foreign Exchange Transaction Law and its subordinate decrees and regulations)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78"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Kuwait. </w:t>
      </w:r>
      <w:r>
        <w:rPr>
          <w:rFonts w:ascii="Arial" w:cs="Arial" w:eastAsia="Arial" w:hAnsi="Arial"/>
          <w:sz w:val="14"/>
          <w:szCs w:val="14"/>
          <w:color w:val="auto"/>
        </w:rPr>
        <w:t>Unless all necessary approvals from the Kuwait Ministry of Commerce and Industry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b w:val="1"/>
          <w:bCs w:val="1"/>
          <w:i w:val="1"/>
          <w:iCs w:val="1"/>
          <w:color w:val="auto"/>
        </w:rPr>
        <w:t xml:space="preserve">People’s Republic of China. </w:t>
      </w:r>
      <w:r>
        <w:rPr>
          <w:rFonts w:ascii="Arial" w:cs="Arial" w:eastAsia="Arial" w:hAnsi="Arial"/>
          <w:sz w:val="14"/>
          <w:szCs w:val="14"/>
          <w:color w:val="auto"/>
        </w:rPr>
        <w:t>This prospectus has not been and will not be circulated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distributed in the PRC, and ADSs may not be offered or sold, and will not be offered or sold to any person for re-offering or resale, directly or indirectly, to any resident of the PRC except pursuant to applicable laws and regulations of the PRC.</w:t>
      </w:r>
    </w:p>
    <w:p>
      <w:pPr>
        <w:spacing w:after="0" w:line="79"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b w:val="1"/>
          <w:bCs w:val="1"/>
          <w:i w:val="1"/>
          <w:iCs w:val="1"/>
          <w:color w:val="auto"/>
        </w:rPr>
        <w:t xml:space="preserve">Qatar. </w:t>
      </w:r>
      <w:r>
        <w:rPr>
          <w:rFonts w:ascii="Arial" w:cs="Arial" w:eastAsia="Arial" w:hAnsi="Arial"/>
          <w:sz w:val="14"/>
          <w:szCs w:val="14"/>
          <w:color w:val="auto"/>
        </w:rPr>
        <w:t>In the State of Qatar, the offer contained herein is made on an exclusive basis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77"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b w:val="1"/>
          <w:bCs w:val="1"/>
          <w:i w:val="1"/>
          <w:iCs w:val="1"/>
          <w:color w:val="auto"/>
        </w:rPr>
        <w:t xml:space="preserve">Singapore. </w:t>
      </w:r>
      <w:r>
        <w:rPr>
          <w:rFonts w:ascii="Arial" w:cs="Arial" w:eastAsia="Arial" w:hAnsi="Arial"/>
          <w:sz w:val="13"/>
          <w:szCs w:val="13"/>
          <w:color w:val="auto"/>
        </w:rPr>
        <w:t>This prospectus has not been registered as a prospectus with the Monetary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w:t>
      </w:r>
    </w:p>
    <w:p>
      <w:pPr>
        <w:spacing w:after="0" w:line="9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4" w:name="page295"/>
    <w:bookmarkEnd w:id="29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subscription or purchase, whether directly or indirectly, to persons in Singapore other than (1) to an institutional investor under Section 274 of the Securities and Futures Act, Chapter 289 of Singapore, or SFA, (2) to a relevant person or any person pursuant to Section 275(1A), and in accordance with the conditions specified in Section 275 of the SFA,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8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Where our ADSs are subscribed or purchased under Section 275 by a relevant person which is:</w:t>
      </w:r>
    </w:p>
    <w:p>
      <w:pPr>
        <w:spacing w:after="0" w:line="13" w:lineRule="exact"/>
        <w:rPr>
          <w:sz w:val="20"/>
          <w:szCs w:val="20"/>
          <w:color w:val="auto"/>
        </w:rPr>
      </w:pPr>
    </w:p>
    <w:p>
      <w:pPr>
        <w:jc w:val="both"/>
        <w:ind w:left="1420" w:right="1398" w:hanging="5"/>
        <w:spacing w:after="0" w:line="233" w:lineRule="auto"/>
        <w:tabs>
          <w:tab w:leader="none" w:pos="1641" w:val="left"/>
        </w:tabs>
        <w:numPr>
          <w:ilvl w:val="0"/>
          <w:numId w:val="162"/>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86"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b w:val="1"/>
          <w:bCs w:val="1"/>
          <w:i w:val="1"/>
          <w:iCs w:val="1"/>
          <w:color w:val="auto"/>
        </w:rPr>
        <w:t xml:space="preserve">Switzerland. </w:t>
      </w:r>
      <w:r>
        <w:rPr>
          <w:rFonts w:ascii="Arial" w:cs="Arial" w:eastAsia="Arial" w:hAnsi="Arial"/>
          <w:sz w:val="13"/>
          <w:szCs w:val="13"/>
          <w:color w:val="auto"/>
        </w:rPr>
        <w:t>The ADSs will not be publicly offered in Switzerland and will not be listed 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65"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b w:val="1"/>
          <w:bCs w:val="1"/>
          <w:i w:val="1"/>
          <w:iCs w:val="1"/>
          <w:color w:val="auto"/>
        </w:rPr>
        <w:t xml:space="preserve">Taiwan. </w:t>
      </w:r>
      <w:r>
        <w:rPr>
          <w:rFonts w:ascii="Arial" w:cs="Arial" w:eastAsia="Arial" w:hAnsi="Arial"/>
          <w:sz w:val="14"/>
          <w:szCs w:val="14"/>
          <w:color w:val="auto"/>
        </w:rPr>
        <w:t>The ADSs have not been and will not be registered with the Financial Supervisory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b w:val="1"/>
          <w:bCs w:val="1"/>
          <w:i w:val="1"/>
          <w:iCs w:val="1"/>
          <w:color w:val="auto"/>
        </w:rPr>
        <w:t xml:space="preserve">United Arab Emirates. </w:t>
      </w:r>
      <w:r>
        <w:rPr>
          <w:rFonts w:ascii="Arial" w:cs="Arial" w:eastAsia="Arial" w:hAnsi="Arial"/>
          <w:sz w:val="14"/>
          <w:szCs w:val="14"/>
          <w:color w:val="auto"/>
        </w:rPr>
        <w:t>This prospectus is not intended to constitute an offer, sale or delivery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or other securities under the laws of the 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5" w:name="page296"/>
    <w:bookmarkEnd w:id="29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8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b w:val="1"/>
          <w:bCs w:val="1"/>
          <w:i w:val="1"/>
          <w:iCs w:val="1"/>
          <w:color w:val="auto"/>
        </w:rPr>
        <w:t xml:space="preserve">United Kingdom. </w:t>
      </w:r>
      <w:r>
        <w:rPr>
          <w:rFonts w:ascii="Arial" w:cs="Arial" w:eastAsia="Arial" w:hAnsi="Arial"/>
          <w:sz w:val="14"/>
          <w:szCs w:val="14"/>
          <w:color w:val="auto"/>
        </w:rPr>
        <w:t>This prospectus has been prepared on the basis that the offering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ordinary shares falls within one of the exceptions specified in Part 1 of Schedule 1 of the Public Offers and Admissions to Trading Regulations 2024 (the “POATRs”) and, accordingly, there will not be a prospectus prepared or published for the purposes of the POATRs. This prospectus does not constitute a prospectus for the purposes of the POATRs. In relation to the United Kingdom, no ADSs have been offered or will be offered pursuant to the offering contemplated by this prospectus to the public in the United Kingdom except that the ADSs may be offered to the public in the United Kingdom at any time:</w:t>
      </w:r>
    </w:p>
    <w:p>
      <w:pPr>
        <w:spacing w:after="0" w:line="77" w:lineRule="exact"/>
        <w:rPr>
          <w:sz w:val="20"/>
          <w:szCs w:val="20"/>
          <w:color w:val="auto"/>
        </w:rPr>
      </w:pPr>
    </w:p>
    <w:p>
      <w:pPr>
        <w:ind w:left="1920" w:hanging="256"/>
        <w:spacing w:after="0"/>
        <w:tabs>
          <w:tab w:leader="none" w:pos="19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to any qualified investor as defined in paragraph 15 of Schedule 1 of the POATRs;</w:t>
      </w:r>
    </w:p>
    <w:p>
      <w:pPr>
        <w:spacing w:after="0" w:line="108" w:lineRule="exact"/>
        <w:rPr>
          <w:rFonts w:ascii="Arial" w:cs="Arial" w:eastAsia="Arial" w:hAnsi="Arial"/>
          <w:sz w:val="14"/>
          <w:szCs w:val="14"/>
          <w:color w:val="auto"/>
        </w:rPr>
      </w:pPr>
    </w:p>
    <w:p>
      <w:pPr>
        <w:jc w:val="both"/>
        <w:ind w:left="1920" w:right="1398" w:hanging="256"/>
        <w:spacing w:after="0" w:line="251" w:lineRule="auto"/>
        <w:tabs>
          <w:tab w:leader="none" w:pos="1972"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to fewer than 150 persons (other than qualified investors as defined in paragraph 15 of Schedule 1 of the POATRs), subject to obtaining the prior consent of underwriters for any such offer; or</w:t>
      </w:r>
    </w:p>
    <w:p>
      <w:pPr>
        <w:spacing w:after="0" w:line="75" w:lineRule="exact"/>
        <w:rPr>
          <w:rFonts w:ascii="Arial" w:cs="Arial" w:eastAsia="Arial" w:hAnsi="Arial"/>
          <w:sz w:val="14"/>
          <w:szCs w:val="14"/>
          <w:color w:val="auto"/>
        </w:rPr>
      </w:pPr>
    </w:p>
    <w:p>
      <w:pPr>
        <w:ind w:left="1900" w:hanging="236"/>
        <w:spacing w:after="0"/>
        <w:tabs>
          <w:tab w:leader="none" w:pos="190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 any other circumstances falling within Part 1 of Schedule 1 of the POATRs.</w:t>
      </w:r>
    </w:p>
    <w:p>
      <w:pPr>
        <w:spacing w:after="0" w:line="98"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In the United Kingdom, this document is being distributed only to, and is directed only at, and any offer subsequently made may only be directed at, persons who are (i) investment professionals falling within Article 19(5) of the Financial Services and Markets Act 2000 (Financial Promotion) Order 2005 (as amended, the “Order”), (ii) high net worth entities or other persons falling within Article 49(2)(a) to</w:t>
      </w:r>
    </w:p>
    <w:p>
      <w:pPr>
        <w:jc w:val="both"/>
        <w:ind w:left="1420" w:right="1398" w:hanging="5"/>
        <w:spacing w:after="0" w:line="237" w:lineRule="auto"/>
        <w:tabs>
          <w:tab w:leader="none" w:pos="1628" w:val="left"/>
        </w:tabs>
        <w:numPr>
          <w:ilvl w:val="0"/>
          <w:numId w:val="164"/>
        </w:numPr>
        <w:rPr>
          <w:rFonts w:ascii="Arial" w:cs="Arial" w:eastAsia="Arial" w:hAnsi="Arial"/>
          <w:sz w:val="14"/>
          <w:szCs w:val="14"/>
          <w:color w:val="auto"/>
        </w:rPr>
      </w:pPr>
      <w:r>
        <w:rPr>
          <w:rFonts w:ascii="Arial" w:cs="Arial" w:eastAsia="Arial" w:hAnsi="Arial"/>
          <w:sz w:val="14"/>
          <w:szCs w:val="14"/>
          <w:color w:val="auto"/>
        </w:rPr>
        <w:t>of the Order, or (iii) other persons to whom they may otherwise lawfully be communicated (all such persons together being referred to as “relevant persons”). This prospectus and its contents are confidential and should not be distributed, published or reproduced (in whole or in part) or disclosed by recipients to any other persons in the United Kingdom.</w:t>
      </w:r>
    </w:p>
    <w:p>
      <w:pPr>
        <w:spacing w:after="0" w:line="83"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Any person in the United Kingdom who is not a relevant person should not act or rely on this prospectus or any of its contents. In the United Kingdom, any investment or investment activity to which this prospectus relates is available only to and will be engaged in only with relevant persons.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6" w:name="page297"/>
    <w:bookmarkEnd w:id="29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EXPENSES RELATING TO THIS OFFERING</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listing fee, all amounts are estimates. The Company will pay all of the expenses of this offering.</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5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U.S. Securities and Exchange Commission registration fee</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8,576</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4"/>
                <w:szCs w:val="14"/>
                <w:color w:val="auto"/>
              </w:rPr>
              <w:t>Nasdaq listing fee</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US$</w:t>
            </w:r>
          </w:p>
        </w:tc>
        <w:tc>
          <w:tcPr>
            <w:tcW w:w="840" w:type="dxa"/>
            <w:vAlign w:val="bottom"/>
          </w:tcPr>
          <w:p>
            <w:pPr>
              <w:jc w:val="right"/>
              <w:spacing w:after="0"/>
              <w:rPr>
                <w:sz w:val="20"/>
                <w:szCs w:val="20"/>
                <w:color w:val="auto"/>
              </w:rPr>
            </w:pPr>
            <w:r>
              <w:rPr>
                <w:rFonts w:ascii="Arial" w:cs="Arial" w:eastAsia="Arial" w:hAnsi="Arial"/>
                <w:sz w:val="14"/>
                <w:szCs w:val="14"/>
                <w:color w:val="auto"/>
              </w:rPr>
              <w:t>325,000</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FINRA filing fee</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9,815</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4"/>
                <w:szCs w:val="14"/>
                <w:color w:val="auto"/>
              </w:rPr>
              <w:t>Printing and engraving expenses</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US$</w:t>
            </w:r>
          </w:p>
        </w:tc>
        <w:tc>
          <w:tcPr>
            <w:tcW w:w="840" w:type="dxa"/>
            <w:vAlign w:val="bottom"/>
          </w:tcPr>
          <w:p>
            <w:pPr>
              <w:jc w:val="right"/>
              <w:spacing w:after="0"/>
              <w:rPr>
                <w:sz w:val="20"/>
                <w:szCs w:val="20"/>
                <w:color w:val="auto"/>
              </w:rPr>
            </w:pPr>
            <w:r>
              <w:rPr>
                <w:rFonts w:ascii="Arial" w:cs="Arial" w:eastAsia="Arial" w:hAnsi="Arial"/>
                <w:sz w:val="14"/>
                <w:szCs w:val="14"/>
                <w:color w:val="auto"/>
              </w:rPr>
              <w:t>55,000</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2,859,489</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4"/>
                <w:szCs w:val="14"/>
                <w:color w:val="auto"/>
              </w:rPr>
              <w:t>Accounting fees and expenses</w:t>
            </w: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US$</w:t>
            </w:r>
          </w:p>
        </w:tc>
        <w:tc>
          <w:tcPr>
            <w:tcW w:w="840" w:type="dxa"/>
            <w:vAlign w:val="bottom"/>
          </w:tcPr>
          <w:p>
            <w:pPr>
              <w:jc w:val="right"/>
              <w:spacing w:after="0"/>
              <w:rPr>
                <w:sz w:val="20"/>
                <w:szCs w:val="20"/>
                <w:color w:val="auto"/>
              </w:rPr>
            </w:pPr>
            <w:r>
              <w:rPr>
                <w:rFonts w:ascii="Arial" w:cs="Arial" w:eastAsia="Arial" w:hAnsi="Arial"/>
                <w:sz w:val="14"/>
                <w:szCs w:val="14"/>
                <w:color w:val="auto"/>
              </w:rPr>
              <w:t>4,140,422</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Miscellaneous costs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1,034,176</w:t>
            </w:r>
          </w:p>
        </w:tc>
        <w:tc>
          <w:tcPr>
            <w:tcW w:w="0" w:type="dxa"/>
            <w:vAlign w:val="bottom"/>
          </w:tcPr>
          <w:p>
            <w:pPr>
              <w:spacing w:after="0"/>
              <w:rPr>
                <w:sz w:val="1"/>
                <w:szCs w:val="1"/>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380" w:type="dxa"/>
            <w:vAlign w:val="bottom"/>
            <w:gridSpan w:val="2"/>
          </w:tcPr>
          <w:p>
            <w:pPr>
              <w:ind w:left="8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8,432,478</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3000"/>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297" w:name="page298"/>
    <w:bookmarkEnd w:id="29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LEGAL MATTERS</w:t>
      </w:r>
    </w:p>
    <w:p>
      <w:pPr>
        <w:spacing w:after="0" w:line="98"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We are being represented by Davis Polk &amp; Wardwell LLP with respect to certain legal matters of U.S. federal securities and New York state law. The underwriters are being represented by Cleary Gottlieb Steen &amp; Hamilton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Maples and Calder (Hong Kong) LLP. Legal matters as to PRC law will be passed upon for us by Haiwen &amp; Partners and for the underwriters by Jingtian &amp; Gongcheng. Davis Polk &amp; Wardwell LLP may rely upon Maples and Calder (Hong Kong) LLP with respect to matters governed by Cayman Islands law and Haiwen &amp; Partners with respect to matters governed by PRC law. Cleary Gottlieb Steen &amp; Hamilton LLP may rely upon Jingtian &amp; Gongcheng Law Firm with respect to matters governed by PRC law.</w:t>
      </w:r>
    </w:p>
    <w:p>
      <w:pPr>
        <w:spacing w:after="0" w:line="13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EXPERTS</w:t>
      </w:r>
    </w:p>
    <w:p>
      <w:pPr>
        <w:spacing w:after="0" w:line="10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combined and consolidated financial statements of DSC Holdings Ltd. at December 31, 2025 and 2024, and for each of the three years in the period ended December 31, 2025 appearing in this Prospectus and Registration Statement have been audited by Ernst &amp; Young Hua Ming LLP, independent registered public accounting firm, as set forth in their report thereon (which contains an explanatory paragraph describing conditions that raise substantial doubt about the Company’s ability to continue as a going concern due to its redemption obligations towards its preferred shareholders, as described in Note 2 to the combined and consolidated financial statements) appearing elsewhere herein, and are included in reliance upon such report given on the authority of such firm as experts in accounting and auditing.</w:t>
      </w:r>
    </w:p>
    <w:p>
      <w:pPr>
        <w:spacing w:after="0" w:line="89"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office of Ernst &amp; Young Hua Ming LLP is located at 16</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Floor, Ernst &amp; Young Tower, Oriental Plaza, No. 1 East Chang’an Avenue, Dong Cheng District, Beijing, China.</w:t>
      </w:r>
    </w:p>
    <w:p>
      <w:pPr>
        <w:spacing w:after="0" w:line="135"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109" w:lineRule="exact"/>
        <w:rPr>
          <w:sz w:val="20"/>
          <w:szCs w:val="20"/>
          <w:color w:val="auto"/>
        </w:rPr>
      </w:pPr>
    </w:p>
    <w:p>
      <w:pPr>
        <w:jc w:val="both"/>
        <w:ind w:left="1420" w:right="1398" w:firstLine="249"/>
        <w:spacing w:after="0" w:line="258" w:lineRule="auto"/>
        <w:rPr>
          <w:sz w:val="20"/>
          <w:szCs w:val="20"/>
          <w:color w:val="auto"/>
        </w:rPr>
      </w:pPr>
      <w:r>
        <w:rPr>
          <w:rFonts w:ascii="Arial" w:cs="Arial" w:eastAsia="Arial" w:hAnsi="Arial"/>
          <w:sz w:val="13"/>
          <w:szCs w:val="13"/>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63"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 xml:space="preserve">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that contains reports, proxy and information statements and other information we have filed electronically with the SEC.</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 a foreign private issuer, we are exempt under the Exchange Act from, among other things, the rules prescribing the furnishing and content of proxy statements. Our principal shareholders are exempt from the reporting provisions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298" w:name="page299"/>
    <w:bookmarkEnd w:id="29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INDEX TO FINANCIAL STATEMENTS</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PAGE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gridSpan w:val="10"/>
            <w:shd w:val="clear" w:color="auto" w:fill="CCEEFF"/>
          </w:tcPr>
          <w:p>
            <w:pPr>
              <w:spacing w:after="0"/>
              <w:rPr>
                <w:sz w:val="20"/>
                <w:szCs w:val="20"/>
                <w:color w:val="auto"/>
              </w:rPr>
            </w:pPr>
            <w:r>
              <w:rPr>
                <w:rFonts w:ascii="Arial" w:cs="Arial" w:eastAsia="Arial" w:hAnsi="Arial"/>
                <w:sz w:val="14"/>
                <w:szCs w:val="14"/>
                <w:b w:val="1"/>
                <w:bCs w:val="1"/>
                <w:color w:val="auto"/>
              </w:rPr>
              <w:t>Audited Combined and Consolidated Financial Statements</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40" w:type="dxa"/>
            <w:vAlign w:val="bottom"/>
            <w:gridSpan w:val="11"/>
          </w:tcPr>
          <w:p>
            <w:pPr>
              <w:spacing w:after="0"/>
              <w:rPr>
                <w:sz w:val="20"/>
                <w:szCs w:val="20"/>
                <w:color w:val="auto"/>
              </w:rPr>
            </w:pPr>
            <w:r>
              <w:rPr>
                <w:rFonts w:ascii="Arial" w:cs="Arial" w:eastAsia="Arial" w:hAnsi="Arial"/>
                <w:sz w:val="14"/>
                <w:szCs w:val="14"/>
                <w:color w:val="0000EE"/>
              </w:rPr>
              <w:t>Report of Independent Registered Public Accounting Firm (PCAOB ID: 1408)</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F-2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0000EE"/>
            </w:tcBorders>
          </w:tcPr>
          <w:p>
            <w:pPr>
              <w:spacing w:after="0"/>
              <w:rPr>
                <w:sz w:val="17"/>
                <w:szCs w:val="17"/>
                <w:color w:val="auto"/>
              </w:rPr>
            </w:pPr>
          </w:p>
        </w:tc>
        <w:tc>
          <w:tcPr>
            <w:tcW w:w="400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4"/>
                <w:szCs w:val="14"/>
                <w:color w:val="0000EE"/>
                <w:w w:val="97"/>
              </w:rPr>
              <w:t>Consolidated Balance Sheets as of December 31, 2024 and 2025</w:t>
            </w:r>
          </w:p>
        </w:tc>
        <w:tc>
          <w:tcPr>
            <w:tcW w:w="1320" w:type="dxa"/>
            <w:vAlign w:val="bottom"/>
            <w:tcBorders>
              <w:bottom w:val="single" w:sz="8" w:color="CCEEFF"/>
            </w:tcBorders>
            <w:gridSpan w:val="5"/>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F-3 – F-5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20" w:type="dxa"/>
            <w:vAlign w:val="bottom"/>
            <w:gridSpan w:val="10"/>
          </w:tcPr>
          <w:p>
            <w:pPr>
              <w:spacing w:after="0" w:line="145" w:lineRule="exact"/>
              <w:rPr>
                <w:sz w:val="20"/>
                <w:szCs w:val="20"/>
                <w:color w:val="auto"/>
              </w:rPr>
            </w:pPr>
            <w:r>
              <w:rPr>
                <w:rFonts w:ascii="Arial" w:cs="Arial" w:eastAsia="Arial" w:hAnsi="Arial"/>
                <w:sz w:val="14"/>
                <w:szCs w:val="14"/>
                <w:color w:val="0000EE"/>
                <w:w w:val="99"/>
              </w:rPr>
              <w:t>Combined and Consolidated Statements of Comprehensive Loss for the Years Ended</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7"/>
              </w:rPr>
              <w:t>F-6 – F-7</w:t>
            </w:r>
          </w:p>
        </w:tc>
        <w:tc>
          <w:tcPr>
            <w:tcW w:w="0" w:type="dxa"/>
            <w:vAlign w:val="bottom"/>
          </w:tcPr>
          <w:p>
            <w:pPr>
              <w:spacing w:after="0"/>
              <w:rPr>
                <w:sz w:val="1"/>
                <w:szCs w:val="1"/>
                <w:color w:val="auto"/>
              </w:rPr>
            </w:pPr>
          </w:p>
        </w:tc>
      </w:tr>
      <w:tr>
        <w:trPr>
          <w:trHeight w:val="136"/>
        </w:trPr>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5080" w:type="dxa"/>
            <w:vAlign w:val="bottom"/>
            <w:tcBorders>
              <w:top w:val="single" w:sz="8" w:color="0000EE"/>
            </w:tcBorders>
            <w:gridSpan w:val="8"/>
          </w:tcPr>
          <w:p>
            <w:pPr>
              <w:spacing w:after="0" w:line="136" w:lineRule="exact"/>
              <w:rPr>
                <w:sz w:val="20"/>
                <w:szCs w:val="20"/>
                <w:color w:val="auto"/>
              </w:rPr>
            </w:pPr>
            <w:r>
              <w:rPr>
                <w:rFonts w:ascii="Arial" w:cs="Arial" w:eastAsia="Arial" w:hAnsi="Arial"/>
                <w:sz w:val="14"/>
                <w:szCs w:val="14"/>
                <w:color w:val="0000EE"/>
              </w:rPr>
              <w:t>December 31, 2023, 2024 and 2025</w:t>
            </w: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20" w:type="dxa"/>
            <w:vAlign w:val="bottom"/>
            <w:gridSpan w:val="10"/>
            <w:shd w:val="clear" w:color="auto" w:fill="CCEEFF"/>
          </w:tcPr>
          <w:p>
            <w:pPr>
              <w:spacing w:after="0" w:line="145" w:lineRule="exact"/>
              <w:rPr>
                <w:sz w:val="20"/>
                <w:szCs w:val="20"/>
                <w:color w:val="auto"/>
              </w:rPr>
            </w:pPr>
            <w:r>
              <w:rPr>
                <w:rFonts w:ascii="Arial" w:cs="Arial" w:eastAsia="Arial" w:hAnsi="Arial"/>
                <w:sz w:val="14"/>
                <w:szCs w:val="14"/>
                <w:color w:val="0000EE"/>
              </w:rPr>
              <w:t>Combined and Consolidated Statements of Changes in Shareholders’ Deficit for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F-8</w:t>
            </w:r>
          </w:p>
        </w:tc>
        <w:tc>
          <w:tcPr>
            <w:tcW w:w="0" w:type="dxa"/>
            <w:vAlign w:val="bottom"/>
          </w:tcPr>
          <w:p>
            <w:pPr>
              <w:spacing w:after="0"/>
              <w:rPr>
                <w:sz w:val="1"/>
                <w:szCs w:val="1"/>
                <w:color w:val="auto"/>
              </w:rPr>
            </w:pPr>
          </w:p>
        </w:tc>
      </w:tr>
      <w:tr>
        <w:trPr>
          <w:trHeight w:val="136"/>
        </w:trPr>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shd w:val="clear" w:color="auto" w:fill="CCEEFF"/>
          </w:tcPr>
          <w:p>
            <w:pPr>
              <w:spacing w:after="0"/>
              <w:rPr>
                <w:sz w:val="11"/>
                <w:szCs w:val="11"/>
                <w:color w:val="auto"/>
              </w:rPr>
            </w:pPr>
          </w:p>
        </w:tc>
        <w:tc>
          <w:tcPr>
            <w:tcW w:w="4740" w:type="dxa"/>
            <w:vAlign w:val="bottom"/>
            <w:tcBorders>
              <w:top w:val="single" w:sz="8" w:color="0000EE"/>
            </w:tcBorders>
            <w:gridSpan w:val="7"/>
            <w:shd w:val="clear" w:color="auto" w:fill="CCEEFF"/>
          </w:tcPr>
          <w:p>
            <w:pPr>
              <w:spacing w:after="0" w:line="136" w:lineRule="exact"/>
              <w:rPr>
                <w:sz w:val="20"/>
                <w:szCs w:val="20"/>
                <w:color w:val="auto"/>
              </w:rPr>
            </w:pPr>
            <w:r>
              <w:rPr>
                <w:rFonts w:ascii="Arial" w:cs="Arial" w:eastAsia="Arial" w:hAnsi="Arial"/>
                <w:sz w:val="14"/>
                <w:szCs w:val="14"/>
                <w:color w:val="0000EE"/>
              </w:rPr>
              <w:t>the Years Ended December 31, 2023, 2024 and 2025</w:t>
            </w:r>
          </w:p>
        </w:tc>
        <w:tc>
          <w:tcPr>
            <w:tcW w:w="460" w:type="dxa"/>
            <w:vAlign w:val="bottom"/>
            <w:tcBorders>
              <w:top w:val="single" w:sz="8" w:color="CCEEFF"/>
            </w:tcBorders>
            <w:gridSpan w:val="2"/>
            <w:shd w:val="clear" w:color="auto" w:fill="CCEEFF"/>
          </w:tcPr>
          <w:p>
            <w:pPr>
              <w:spacing w:after="0"/>
              <w:rPr>
                <w:sz w:val="11"/>
                <w:szCs w:val="11"/>
                <w:color w:val="auto"/>
              </w:rPr>
            </w:pPr>
          </w:p>
        </w:tc>
        <w:tc>
          <w:tcPr>
            <w:tcW w:w="88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20" w:type="dxa"/>
            <w:vAlign w:val="bottom"/>
            <w:gridSpan w:val="10"/>
          </w:tcPr>
          <w:p>
            <w:pPr>
              <w:spacing w:after="0" w:line="145" w:lineRule="exact"/>
              <w:rPr>
                <w:sz w:val="20"/>
                <w:szCs w:val="20"/>
                <w:color w:val="auto"/>
              </w:rPr>
            </w:pPr>
            <w:r>
              <w:rPr>
                <w:rFonts w:ascii="Arial" w:cs="Arial" w:eastAsia="Arial" w:hAnsi="Arial"/>
                <w:sz w:val="14"/>
                <w:szCs w:val="14"/>
                <w:color w:val="0000EE"/>
              </w:rPr>
              <w:t>Combined and Consolidated Statements of Cash Flows for the Years Ended</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7"/>
              </w:rPr>
              <w:t>F-9 – F-10</w:t>
            </w:r>
          </w:p>
        </w:tc>
        <w:tc>
          <w:tcPr>
            <w:tcW w:w="0" w:type="dxa"/>
            <w:vAlign w:val="bottom"/>
          </w:tcPr>
          <w:p>
            <w:pPr>
              <w:spacing w:after="0"/>
              <w:rPr>
                <w:sz w:val="1"/>
                <w:szCs w:val="1"/>
                <w:color w:val="auto"/>
              </w:rPr>
            </w:pPr>
          </w:p>
        </w:tc>
      </w:tr>
      <w:tr>
        <w:trPr>
          <w:trHeight w:val="136"/>
        </w:trPr>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500" w:type="dxa"/>
            <w:vAlign w:val="bottom"/>
            <w:tcBorders>
              <w:top w:val="single" w:sz="8" w:color="0000EE"/>
            </w:tcBorders>
            <w:gridSpan w:val="5"/>
          </w:tcPr>
          <w:p>
            <w:pPr>
              <w:spacing w:after="0" w:line="136" w:lineRule="exact"/>
              <w:rPr>
                <w:sz w:val="20"/>
                <w:szCs w:val="20"/>
                <w:color w:val="auto"/>
              </w:rPr>
            </w:pPr>
            <w:r>
              <w:rPr>
                <w:rFonts w:ascii="Arial" w:cs="Arial" w:eastAsia="Arial" w:hAnsi="Arial"/>
                <w:sz w:val="14"/>
                <w:szCs w:val="14"/>
                <w:color w:val="0000EE"/>
              </w:rPr>
              <w:t>December 31, 2023, 2024 and 2025</w:t>
            </w:r>
          </w:p>
        </w:tc>
        <w:tc>
          <w:tcPr>
            <w:tcW w:w="700" w:type="dxa"/>
            <w:vAlign w:val="bottom"/>
            <w:gridSpan w:val="4"/>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Borders>
              <w:bottom w:val="single" w:sz="8" w:color="0000EE"/>
            </w:tcBorders>
          </w:tcPr>
          <w:p>
            <w:pPr>
              <w:spacing w:after="0"/>
              <w:rPr>
                <w:sz w:val="17"/>
                <w:szCs w:val="17"/>
                <w:color w:val="auto"/>
              </w:rPr>
            </w:pPr>
          </w:p>
        </w:tc>
        <w:tc>
          <w:tcPr>
            <w:tcW w:w="384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4"/>
                <w:szCs w:val="14"/>
                <w:color w:val="0000EE"/>
                <w:w w:val="97"/>
              </w:rPr>
              <w:t>Notes to the Combined and Consolidated Financial Statements</w:t>
            </w:r>
          </w:p>
        </w:tc>
        <w:tc>
          <w:tcPr>
            <w:tcW w:w="1480" w:type="dxa"/>
            <w:vAlign w:val="bottom"/>
            <w:tcBorders>
              <w:bottom w:val="single" w:sz="8" w:color="CCEEFF"/>
            </w:tcBorders>
            <w:gridSpan w:val="6"/>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F-11 – F-56</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color w:val="auto"/>
              </w:rPr>
              <w:t>F-1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299" w:name="page300"/>
    <w:bookmarkEnd w:id="29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ind w:left="1420" w:right="2178" w:firstLine="776"/>
        <w:spacing w:after="0" w:line="425"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To the Shareholders and the Board of Directors of DSC Holdings Ltd.</w:t>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Opinion on the Financial Statements</w:t>
      </w:r>
    </w:p>
    <w:p>
      <w:pPr>
        <w:spacing w:after="0" w:line="9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We have audited the accompanying consolidated balance sheets of DSC Holdings Ltd. (the Company) as of December 31, 2025 and 2024, the related combined and consolidated statements of comprehensive loss, changes in shareholders’ deficit and cash flows for each of the three years in the period ended December 31, 2025, and the related notes (collectively referred to as the “combined and consolidated financial statements”). In our opinion, the combined and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The Company’s Ability to Continue as a Going Concern</w:t>
      </w:r>
    </w:p>
    <w:p>
      <w:pPr>
        <w:spacing w:after="0" w:line="88"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accompanying combined and consolidated financial statements have been prepared assuming that the Company will continue as a going concern. As discussed in Note 2 to the financial statements, the Company’s preferred shareholders may request the Company to redeem their preferred shares at any time after December 31, 2026. Such redemption obligations raised substantial doubt about the Company’s ability to continue as a going concern. Management’s evaluation of the events and conditions and management’s plans regarding these matters are also described in Note 2. The combined and consolidated financial statements do not include any adjustments that might result from the outcome of this uncertainty.</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Basis for Opinion</w:t>
      </w:r>
    </w:p>
    <w:p>
      <w:pPr>
        <w:spacing w:after="0" w:line="88"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5"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5"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 Ernst &amp; Young Hua Ming LLP</w:t>
      </w:r>
    </w:p>
    <w:p>
      <w:pPr>
        <w:spacing w:after="0" w:line="9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We have served as the Company’s auditor since 2023.</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Beijing, the People’s Republic of China</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May 1, 2026</w:t>
      </w:r>
    </w:p>
    <w:p>
      <w:pPr>
        <w:spacing w:after="0" w:line="14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0" w:name="page301"/>
    <w:bookmarkEnd w:id="30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CONSOLIDATED BALANCE SHEETS</w:t>
      </w:r>
    </w:p>
    <w:p>
      <w:pPr>
        <w:jc w:val="center"/>
        <w:ind w:right="-21"/>
        <w:spacing w:after="0" w:line="232" w:lineRule="auto"/>
        <w:rPr>
          <w:sz w:val="20"/>
          <w:szCs w:val="20"/>
          <w:color w:val="auto"/>
        </w:rPr>
      </w:pPr>
      <w:r>
        <w:rPr>
          <w:rFonts w:ascii="Arial" w:cs="Arial" w:eastAsia="Arial" w:hAnsi="Arial"/>
          <w:sz w:val="14"/>
          <w:szCs w:val="14"/>
          <w:b w:val="1"/>
          <w:bCs w:val="1"/>
          <w:color w:val="auto"/>
        </w:rPr>
        <w:t>(Amounts in thousands of Renminbi (“RMB”) and US dollar (“US$”),</w:t>
      </w:r>
    </w:p>
    <w:p>
      <w:pPr>
        <w:jc w:val="center"/>
        <w:ind w:right="-21"/>
        <w:spacing w:after="0"/>
        <w:rPr>
          <w:sz w:val="20"/>
          <w:szCs w:val="20"/>
          <w:color w:val="auto"/>
        </w:rPr>
      </w:pPr>
      <w:r>
        <w:rPr>
          <w:rFonts w:ascii="Arial" w:cs="Arial" w:eastAsia="Arial" w:hAnsi="Arial"/>
          <w:sz w:val="14"/>
          <w:szCs w:val="14"/>
          <w:b w:val="1"/>
          <w:bCs w:val="1"/>
          <w:color w:val="auto"/>
        </w:rPr>
        <w:t>except for number of shares and per share data)</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Borders>
              <w:bottom w:val="single" w:sz="8" w:color="auto"/>
            </w:tcBorders>
            <w:gridSpan w:val="5"/>
          </w:tcPr>
          <w:p>
            <w:pPr>
              <w:jc w:val="center"/>
              <w:ind w:left="493"/>
              <w:spacing w:after="0"/>
              <w:rPr>
                <w:sz w:val="20"/>
                <w:szCs w:val="20"/>
                <w:color w:val="auto"/>
              </w:rPr>
            </w:pPr>
            <w:r>
              <w:rPr>
                <w:rFonts w:ascii="Arial" w:cs="Arial" w:eastAsia="Arial" w:hAnsi="Arial"/>
                <w:sz w:val="11"/>
                <w:szCs w:val="11"/>
                <w:b w:val="1"/>
                <w:bCs w:val="1"/>
                <w:color w:val="auto"/>
                <w:w w:val="99"/>
              </w:rPr>
              <w:t>As of December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Notes</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RMB</w:t>
            </w:r>
          </w:p>
        </w:tc>
        <w:tc>
          <w:tcPr>
            <w:tcW w:w="560" w:type="dxa"/>
            <w:vAlign w:val="bottom"/>
          </w:tcPr>
          <w:p>
            <w:pPr>
              <w:jc w:val="right"/>
              <w:ind w:right="172"/>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215,401</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178,862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1,261</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1,147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investments</w:t>
            </w:r>
          </w:p>
        </w:tc>
        <w:tc>
          <w:tcPr>
            <w:tcW w:w="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31,730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400" w:type="dxa"/>
            <w:vAlign w:val="bottom"/>
          </w:tcPr>
          <w:p>
            <w:pPr>
              <w:jc w:val="center"/>
              <w:ind w:right="12"/>
              <w:spacing w:after="0"/>
              <w:rPr>
                <w:sz w:val="20"/>
                <w:szCs w:val="20"/>
                <w:color w:val="auto"/>
              </w:rPr>
            </w:pPr>
            <w:r>
              <w:rPr>
                <w:rFonts w:ascii="Arial" w:cs="Arial" w:eastAsia="Arial" w:hAnsi="Arial"/>
                <w:sz w:val="14"/>
                <w:szCs w:val="14"/>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74,181</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60,753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due from related parties</w:t>
            </w:r>
          </w:p>
        </w:tc>
        <w:tc>
          <w:tcPr>
            <w:tcW w:w="40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4"/>
                <w:szCs w:val="14"/>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45,208</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84,626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Contract assets</w:t>
            </w:r>
          </w:p>
        </w:tc>
        <w:tc>
          <w:tcPr>
            <w:tcW w:w="400" w:type="dxa"/>
            <w:vAlign w:val="bottom"/>
          </w:tcPr>
          <w:p>
            <w:pPr>
              <w:jc w:val="center"/>
              <w:ind w:right="12"/>
              <w:spacing w:after="0"/>
              <w:rPr>
                <w:sz w:val="20"/>
                <w:szCs w:val="20"/>
                <w:color w:val="auto"/>
              </w:rPr>
            </w:pPr>
            <w:r>
              <w:rPr>
                <w:rFonts w:ascii="Arial" w:cs="Arial" w:eastAsia="Arial" w:hAnsi="Arial"/>
                <w:sz w:val="14"/>
                <w:szCs w:val="14"/>
                <w:color w:val="auto"/>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109,154</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90,337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12,918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4"/>
                <w:szCs w:val="14"/>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143,935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154,566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120"/>
              <w:spacing w:after="0"/>
              <w:rPr>
                <w:sz w:val="20"/>
                <w:szCs w:val="20"/>
                <w:color w:val="auto"/>
              </w:rPr>
            </w:pPr>
            <w:r>
              <w:rPr>
                <w:rFonts w:ascii="Arial" w:cs="Arial" w:eastAsia="Arial" w:hAnsi="Arial"/>
                <w:sz w:val="14"/>
                <w:szCs w:val="14"/>
                <w:b w:val="1"/>
                <w:bCs w:val="1"/>
                <w:color w:val="auto"/>
              </w:rPr>
              <w:t>Total current assets</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589,140</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602,021</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86,088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Non-current assets: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assets</w:t>
            </w:r>
          </w:p>
        </w:tc>
        <w:tc>
          <w:tcPr>
            <w:tcW w:w="400" w:type="dxa"/>
            <w:vAlign w:val="bottom"/>
            <w:tcBorders>
              <w:right w:val="single" w:sz="8" w:color="CCEEFF"/>
            </w:tcBorders>
            <w:shd w:val="clear" w:color="auto" w:fill="CCEEFF"/>
          </w:tcPr>
          <w:p>
            <w:pPr>
              <w:jc w:val="center"/>
              <w:ind w:right="12"/>
              <w:spacing w:after="0"/>
              <w:rPr>
                <w:sz w:val="20"/>
                <w:szCs w:val="20"/>
                <w:color w:val="auto"/>
              </w:rPr>
            </w:pPr>
            <w:r>
              <w:rPr>
                <w:rFonts w:ascii="Arial" w:cs="Arial" w:eastAsia="Arial" w:hAnsi="Arial"/>
                <w:sz w:val="14"/>
                <w:szCs w:val="14"/>
                <w:color w:val="auto"/>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9,086</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3,571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Intangible assets</w:t>
            </w:r>
          </w:p>
        </w:tc>
        <w:tc>
          <w:tcPr>
            <w:tcW w:w="400" w:type="dxa"/>
            <w:vAlign w:val="bottom"/>
          </w:tcPr>
          <w:p>
            <w:pPr>
              <w:jc w:val="center"/>
              <w:ind w:right="12"/>
              <w:spacing w:after="0"/>
              <w:rPr>
                <w:sz w:val="20"/>
                <w:szCs w:val="20"/>
                <w:color w:val="auto"/>
              </w:rPr>
            </w:pPr>
            <w:r>
              <w:rPr>
                <w:rFonts w:ascii="Arial" w:cs="Arial" w:eastAsia="Arial" w:hAnsi="Arial"/>
                <w:sz w:val="14"/>
                <w:szCs w:val="14"/>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80,689</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64,408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596,659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596,858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Long-term investments</w:t>
            </w:r>
          </w:p>
        </w:tc>
        <w:tc>
          <w:tcPr>
            <w:tcW w:w="400" w:type="dxa"/>
            <w:vAlign w:val="bottom"/>
          </w:tcPr>
          <w:p>
            <w:pPr>
              <w:jc w:val="center"/>
              <w:ind w:right="12"/>
              <w:spacing w:after="0"/>
              <w:rPr>
                <w:sz w:val="20"/>
                <w:szCs w:val="20"/>
                <w:color w:val="auto"/>
              </w:rPr>
            </w:pPr>
            <w:r>
              <w:rPr>
                <w:rFonts w:ascii="Arial" w:cs="Arial" w:eastAsia="Arial" w:hAnsi="Arial"/>
                <w:sz w:val="14"/>
                <w:szCs w:val="14"/>
                <w:color w:val="auto"/>
              </w:rPr>
              <w:t>9</w:t>
            </w:r>
          </w:p>
        </w:tc>
        <w:tc>
          <w:tcPr>
            <w:tcW w:w="700" w:type="dxa"/>
            <w:vAlign w:val="bottom"/>
          </w:tcPr>
          <w:p>
            <w:pPr>
              <w:jc w:val="right"/>
              <w:spacing w:after="0"/>
              <w:rPr>
                <w:sz w:val="20"/>
                <w:szCs w:val="20"/>
                <w:color w:val="auto"/>
              </w:rPr>
            </w:pPr>
            <w:r>
              <w:rPr>
                <w:rFonts w:ascii="Arial" w:cs="Arial" w:eastAsia="Arial" w:hAnsi="Arial"/>
                <w:sz w:val="14"/>
                <w:szCs w:val="14"/>
                <w:color w:val="auto"/>
              </w:rPr>
              <w:t>6,835</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7,572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right-of-use assets</w:t>
            </w:r>
          </w:p>
        </w:tc>
        <w:tc>
          <w:tcPr>
            <w:tcW w:w="4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13,395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120"/>
              <w:spacing w:after="0"/>
              <w:rPr>
                <w:sz w:val="20"/>
                <w:szCs w:val="20"/>
                <w:color w:val="auto"/>
              </w:rPr>
            </w:pPr>
            <w:r>
              <w:rPr>
                <w:rFonts w:ascii="Arial" w:cs="Arial" w:eastAsia="Arial" w:hAnsi="Arial"/>
                <w:sz w:val="14"/>
                <w:szCs w:val="14"/>
                <w:color w:val="auto"/>
              </w:rPr>
              <w:t>Amounts due from related parties</w:t>
            </w:r>
          </w:p>
        </w:tc>
        <w:tc>
          <w:tcPr>
            <w:tcW w:w="400" w:type="dxa"/>
            <w:vAlign w:val="bottom"/>
          </w:tcPr>
          <w:p>
            <w:pPr>
              <w:jc w:val="center"/>
              <w:ind w:right="12"/>
              <w:spacing w:after="0"/>
              <w:rPr>
                <w:sz w:val="20"/>
                <w:szCs w:val="20"/>
                <w:color w:val="auto"/>
              </w:rPr>
            </w:pPr>
            <w:r>
              <w:rPr>
                <w:rFonts w:ascii="Arial" w:cs="Arial" w:eastAsia="Arial" w:hAnsi="Arial"/>
                <w:sz w:val="14"/>
                <w:szCs w:val="14"/>
                <w:color w:val="auto"/>
              </w:rPr>
              <w:t>6</w:t>
            </w:r>
          </w:p>
        </w:tc>
        <w:tc>
          <w:tcPr>
            <w:tcW w:w="700" w:type="dxa"/>
            <w:vAlign w:val="bottom"/>
          </w:tcPr>
          <w:p>
            <w:pPr>
              <w:jc w:val="right"/>
              <w:spacing w:after="0"/>
              <w:rPr>
                <w:sz w:val="20"/>
                <w:szCs w:val="20"/>
                <w:color w:val="auto"/>
              </w:rPr>
            </w:pPr>
            <w:r>
              <w:rPr>
                <w:rFonts w:ascii="Arial" w:cs="Arial" w:eastAsia="Arial" w:hAnsi="Arial"/>
                <w:sz w:val="14"/>
                <w:szCs w:val="14"/>
                <w:color w:val="auto"/>
              </w:rPr>
              <w:t>211,519</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132,716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non-current assets</w:t>
            </w:r>
          </w:p>
        </w:tc>
        <w:tc>
          <w:tcPr>
            <w:tcW w:w="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14,865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non-current assets</w:t>
            </w: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941,716</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833,385</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119,173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vMerge w:val="continue"/>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1,530,856</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1,435,406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LIABILITIES, MEZZANINE EQUITY AND</w:t>
            </w:r>
          </w:p>
        </w:tc>
        <w:tc>
          <w:tcPr>
            <w:tcW w:w="40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 DEFICIT</w:t>
            </w:r>
          </w:p>
        </w:tc>
        <w:tc>
          <w:tcPr>
            <w:tcW w:w="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rPr>
              <w:t>Accounts payable (including amounts of the VIEs and</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VIEs’ subsidiaries without recourse to the primary</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beneficiary of RMB36,379 and RMB42,537</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(US$6,083) as of December 31, 2024 and 2025,</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60,800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Pr>
          <w:p>
            <w:pPr>
              <w:ind w:left="120"/>
              <w:spacing w:after="0" w:line="137" w:lineRule="exact"/>
              <w:rPr>
                <w:sz w:val="20"/>
                <w:szCs w:val="20"/>
                <w:color w:val="auto"/>
              </w:rPr>
            </w:pPr>
            <w:r>
              <w:rPr>
                <w:rFonts w:ascii="Arial" w:cs="Arial" w:eastAsia="Arial" w:hAnsi="Arial"/>
                <w:sz w:val="14"/>
                <w:szCs w:val="14"/>
                <w:color w:val="auto"/>
              </w:rPr>
              <w:t>Short-term loans (including amounts of the VIEs and</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ind w:left="260"/>
              <w:spacing w:after="0" w:line="156" w:lineRule="exact"/>
              <w:rPr>
                <w:sz w:val="20"/>
                <w:szCs w:val="20"/>
                <w:color w:val="auto"/>
              </w:rPr>
            </w:pPr>
            <w:r>
              <w:rPr>
                <w:rFonts w:ascii="Arial" w:cs="Arial" w:eastAsia="Arial" w:hAnsi="Arial"/>
                <w:sz w:val="14"/>
                <w:szCs w:val="14"/>
                <w:color w:val="auto"/>
              </w:rPr>
              <w:t>VIEs’ subsidiaries without recourse to the primary</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ind w:left="260"/>
              <w:spacing w:after="0" w:line="156" w:lineRule="exact"/>
              <w:rPr>
                <w:sz w:val="20"/>
                <w:szCs w:val="20"/>
                <w:color w:val="auto"/>
              </w:rPr>
            </w:pPr>
            <w:r>
              <w:rPr>
                <w:rFonts w:ascii="Arial" w:cs="Arial" w:eastAsia="Arial" w:hAnsi="Arial"/>
                <w:sz w:val="14"/>
                <w:szCs w:val="14"/>
                <w:color w:val="auto"/>
              </w:rPr>
              <w:t>beneficiary of RMB59,969 and RMB 76,603</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ind w:left="260"/>
              <w:spacing w:after="0" w:line="156" w:lineRule="exact"/>
              <w:rPr>
                <w:sz w:val="20"/>
                <w:szCs w:val="20"/>
                <w:color w:val="auto"/>
              </w:rPr>
            </w:pPr>
            <w:r>
              <w:rPr>
                <w:rFonts w:ascii="Arial" w:cs="Arial" w:eastAsia="Arial" w:hAnsi="Arial"/>
                <w:sz w:val="14"/>
                <w:szCs w:val="14"/>
                <w:color w:val="auto"/>
              </w:rPr>
              <w:t>(US$10,954) as of December 31, 2024 and 2025,</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ind w:left="260"/>
              <w:spacing w:after="0"/>
              <w:rPr>
                <w:sz w:val="20"/>
                <w:szCs w:val="20"/>
                <w:color w:val="auto"/>
              </w:rPr>
            </w:pPr>
            <w:r>
              <w:rPr>
                <w:rFonts w:ascii="Arial" w:cs="Arial" w:eastAsia="Arial" w:hAnsi="Arial"/>
                <w:sz w:val="14"/>
                <w:szCs w:val="14"/>
                <w:color w:val="auto"/>
              </w:rPr>
              <w:t>respectively)</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700" w:type="dxa"/>
            <w:vAlign w:val="bottom"/>
          </w:tcPr>
          <w:p>
            <w:pPr>
              <w:jc w:val="right"/>
              <w:spacing w:after="0"/>
              <w:rPr>
                <w:sz w:val="20"/>
                <w:szCs w:val="20"/>
                <w:color w:val="auto"/>
              </w:rPr>
            </w:pPr>
            <w:r>
              <w:rPr>
                <w:rFonts w:ascii="Arial" w:cs="Arial" w:eastAsia="Arial" w:hAnsi="Arial"/>
                <w:sz w:val="14"/>
                <w:szCs w:val="14"/>
                <w:color w:val="auto"/>
              </w:rPr>
              <w:t>107,469</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121,274</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17,342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4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Contract liabilities and customer advance (including</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amounts of the VIEs and VIEs’ subsidiaries without</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recourse to the primary beneficiary of RMB27,464</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and RMB28,870 (US$4,128) as of December 31,</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2024 and 2025, respectively)</w:t>
            </w:r>
          </w:p>
        </w:tc>
        <w:tc>
          <w:tcPr>
            <w:tcW w:w="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51,170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540" w:type="dxa"/>
            <w:vAlign w:val="bottom"/>
            <w:tcBorders>
              <w:bottom w:val="single" w:sz="8" w:color="auto"/>
            </w:tcBorders>
          </w:tcPr>
          <w:p>
            <w:pPr>
              <w:ind w:left="2980"/>
              <w:spacing w:after="0"/>
              <w:rPr>
                <w:sz w:val="20"/>
                <w:szCs w:val="20"/>
                <w:color w:val="auto"/>
              </w:rPr>
            </w:pPr>
            <w:r>
              <w:rPr>
                <w:rFonts w:ascii="Arial" w:cs="Arial" w:eastAsia="Arial" w:hAnsi="Arial"/>
                <w:sz w:val="14"/>
                <w:szCs w:val="14"/>
                <w:color w:val="auto"/>
              </w:rPr>
              <w:t>F-3</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01" w:name="page302"/>
    <w:bookmarkEnd w:id="30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CONSOLIDATED BALANCE SHEETS — (Continued)</w:t>
      </w:r>
    </w:p>
    <w:p>
      <w:pPr>
        <w:jc w:val="center"/>
        <w:ind w:right="-21"/>
        <w:spacing w:after="0" w:line="232" w:lineRule="auto"/>
        <w:rPr>
          <w:sz w:val="20"/>
          <w:szCs w:val="20"/>
          <w:color w:val="auto"/>
        </w:rPr>
      </w:pPr>
      <w:r>
        <w:rPr>
          <w:rFonts w:ascii="Arial" w:cs="Arial" w:eastAsia="Arial" w:hAnsi="Arial"/>
          <w:sz w:val="14"/>
          <w:szCs w:val="14"/>
          <w:b w:val="1"/>
          <w:bCs w:val="1"/>
          <w:color w:val="auto"/>
        </w:rPr>
        <w:t>(Amounts in thousands of Renminbi (“RMB”) and US dollar (“US$”),</w:t>
      </w:r>
    </w:p>
    <w:p>
      <w:pPr>
        <w:jc w:val="center"/>
        <w:ind w:right="-21"/>
        <w:spacing w:after="0"/>
        <w:rPr>
          <w:sz w:val="20"/>
          <w:szCs w:val="20"/>
          <w:color w:val="auto"/>
        </w:rPr>
      </w:pPr>
      <w:r>
        <w:rPr>
          <w:rFonts w:ascii="Arial" w:cs="Arial" w:eastAsia="Arial" w:hAnsi="Arial"/>
          <w:sz w:val="14"/>
          <w:szCs w:val="14"/>
          <w:b w:val="1"/>
          <w:bCs w:val="1"/>
          <w:color w:val="auto"/>
        </w:rPr>
        <w:t>except for number of shares and per share data)</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Borders>
              <w:bottom w:val="single" w:sz="8" w:color="auto"/>
            </w:tcBorders>
            <w:gridSpan w:val="5"/>
          </w:tcPr>
          <w:p>
            <w:pPr>
              <w:jc w:val="center"/>
              <w:ind w:left="494"/>
              <w:spacing w:after="0"/>
              <w:rPr>
                <w:sz w:val="20"/>
                <w:szCs w:val="20"/>
                <w:color w:val="auto"/>
              </w:rPr>
            </w:pPr>
            <w:r>
              <w:rPr>
                <w:rFonts w:ascii="Arial" w:cs="Arial" w:eastAsia="Arial" w:hAnsi="Arial"/>
                <w:sz w:val="11"/>
                <w:szCs w:val="11"/>
                <w:b w:val="1"/>
                <w:bCs w:val="1"/>
                <w:color w:val="auto"/>
                <w:w w:val="99"/>
              </w:rPr>
              <w:t>As of December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Notes</w:t>
            </w: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RMB</w:t>
            </w:r>
          </w:p>
        </w:tc>
        <w:tc>
          <w:tcPr>
            <w:tcW w:w="560" w:type="dxa"/>
            <w:vAlign w:val="bottom"/>
          </w:tcPr>
          <w:p>
            <w:pPr>
              <w:jc w:val="right"/>
              <w:ind w:right="173"/>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Amounts due to related parties (including amounts of</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the VIEs and VIEs subsidiaries without recourse to</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the primary beneficiary of RMB1,681 and RMB2,004</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(US$287) as of December 31, 2024 and 2025,</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respectively)</w:t>
            </w:r>
          </w:p>
        </w:tc>
        <w:tc>
          <w:tcPr>
            <w:tcW w:w="400" w:type="dxa"/>
            <w:vAlign w:val="bottom"/>
            <w:tcBorders>
              <w:right w:val="single" w:sz="8" w:color="CCEEFF"/>
            </w:tcBorders>
            <w:shd w:val="clear" w:color="auto" w:fill="CCEEFF"/>
          </w:tcPr>
          <w:p>
            <w:pPr>
              <w:jc w:val="center"/>
              <w:ind w:right="13"/>
              <w:spacing w:after="0"/>
              <w:rPr>
                <w:sz w:val="20"/>
                <w:szCs w:val="20"/>
                <w:color w:val="auto"/>
              </w:rPr>
            </w:pPr>
            <w:r>
              <w:rPr>
                <w:rFonts w:ascii="Arial" w:cs="Arial" w:eastAsia="Arial" w:hAnsi="Arial"/>
                <w:sz w:val="14"/>
                <w:szCs w:val="14"/>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2,004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37"/>
        </w:trPr>
        <w:tc>
          <w:tcPr>
            <w:tcW w:w="3560" w:type="dxa"/>
            <w:vAlign w:val="bottom"/>
          </w:tcPr>
          <w:p>
            <w:pPr>
              <w:ind w:left="140"/>
              <w:spacing w:after="0" w:line="137" w:lineRule="exact"/>
              <w:rPr>
                <w:sz w:val="20"/>
                <w:szCs w:val="20"/>
                <w:color w:val="auto"/>
              </w:rPr>
            </w:pPr>
            <w:r>
              <w:rPr>
                <w:rFonts w:ascii="Arial" w:cs="Arial" w:eastAsia="Arial" w:hAnsi="Arial"/>
                <w:sz w:val="14"/>
                <w:szCs w:val="14"/>
                <w:color w:val="auto"/>
              </w:rPr>
              <w:t>Operating lease liabilities, current portion (including</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amounts of the VIEs and VIEs’ subsidiaries without</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recourse to the primary beneficiary of RMB2,223</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and RMB2,621 (US$375) as of December 31, 2024</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80"/>
              <w:spacing w:after="0"/>
              <w:rPr>
                <w:sz w:val="20"/>
                <w:szCs w:val="20"/>
                <w:color w:val="auto"/>
              </w:rPr>
            </w:pPr>
            <w:r>
              <w:rPr>
                <w:rFonts w:ascii="Arial" w:cs="Arial" w:eastAsia="Arial" w:hAnsi="Arial"/>
                <w:sz w:val="14"/>
                <w:szCs w:val="14"/>
                <w:color w:val="auto"/>
              </w:rPr>
              <w:t>and 2025, respectively)</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700" w:type="dxa"/>
            <w:vAlign w:val="bottom"/>
          </w:tcPr>
          <w:p>
            <w:pPr>
              <w:jc w:val="right"/>
              <w:spacing w:after="0"/>
              <w:rPr>
                <w:sz w:val="20"/>
                <w:szCs w:val="20"/>
                <w:color w:val="auto"/>
              </w:rPr>
            </w:pPr>
            <w:r>
              <w:rPr>
                <w:rFonts w:ascii="Arial" w:cs="Arial" w:eastAsia="Arial" w:hAnsi="Arial"/>
                <w:sz w:val="14"/>
                <w:szCs w:val="14"/>
                <w:color w:val="auto"/>
              </w:rPr>
              <w:t>8,259</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4,823</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Accrued expenses and other current liabilities</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(including amounts of the VIEs and VIEs’</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subsidiaries without recourse to the primary</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beneficiary of RMB127,682 and RMB141,353</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(US$20,213) as of December 31, 2024 and 2025,</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respectively)</w:t>
            </w:r>
          </w:p>
        </w:tc>
        <w:tc>
          <w:tcPr>
            <w:tcW w:w="4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187,967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26,879</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424,829</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428,038</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61,209</w:t>
            </w: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Amounts due to related parties, non-current (including</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amounts of the VIEs and VIEs’ subsidiaries without</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recourse to the primary beneficiary of RMB149,539</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and RMB122,644 (US$17,538) as of December 31,</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2024 and 2025, respectively)</w:t>
            </w:r>
          </w:p>
        </w:tc>
        <w:tc>
          <w:tcPr>
            <w:tcW w:w="400" w:type="dxa"/>
            <w:vAlign w:val="bottom"/>
            <w:tcBorders>
              <w:right w:val="single" w:sz="8" w:color="CCEEFF"/>
            </w:tcBorders>
            <w:shd w:val="clear" w:color="auto" w:fill="CCEEFF"/>
          </w:tcPr>
          <w:p>
            <w:pPr>
              <w:jc w:val="center"/>
              <w:ind w:right="13"/>
              <w:spacing w:after="0"/>
              <w:rPr>
                <w:sz w:val="20"/>
                <w:szCs w:val="20"/>
                <w:color w:val="auto"/>
              </w:rPr>
            </w:pPr>
            <w:r>
              <w:rPr>
                <w:rFonts w:ascii="Arial" w:cs="Arial" w:eastAsia="Arial" w:hAnsi="Arial"/>
                <w:sz w:val="14"/>
                <w:szCs w:val="14"/>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279,536</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282,998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40,468</w:t>
            </w:r>
          </w:p>
        </w:tc>
        <w:tc>
          <w:tcPr>
            <w:tcW w:w="0" w:type="dxa"/>
            <w:vAlign w:val="bottom"/>
          </w:tcPr>
          <w:p>
            <w:pPr>
              <w:spacing w:after="0"/>
              <w:rPr>
                <w:sz w:val="1"/>
                <w:szCs w:val="1"/>
                <w:color w:val="auto"/>
              </w:rPr>
            </w:pPr>
          </w:p>
        </w:tc>
      </w:tr>
      <w:tr>
        <w:trPr>
          <w:trHeight w:val="137"/>
        </w:trPr>
        <w:tc>
          <w:tcPr>
            <w:tcW w:w="3560" w:type="dxa"/>
            <w:vAlign w:val="bottom"/>
          </w:tcPr>
          <w:p>
            <w:pPr>
              <w:ind w:left="140"/>
              <w:spacing w:after="0" w:line="137" w:lineRule="exact"/>
              <w:rPr>
                <w:sz w:val="20"/>
                <w:szCs w:val="20"/>
                <w:color w:val="auto"/>
              </w:rPr>
            </w:pPr>
            <w:r>
              <w:rPr>
                <w:rFonts w:ascii="Arial" w:cs="Arial" w:eastAsia="Arial" w:hAnsi="Arial"/>
                <w:sz w:val="14"/>
                <w:szCs w:val="14"/>
                <w:color w:val="auto"/>
              </w:rPr>
              <w:t>Operating lease liabilities (including amounts of the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VIEs and VIEs’ subsidiaries without recourse to the</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primary beneficiary of RMB6,213 and RMB5,019</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80"/>
              <w:spacing w:after="0" w:line="156" w:lineRule="exact"/>
              <w:rPr>
                <w:sz w:val="20"/>
                <w:szCs w:val="20"/>
                <w:color w:val="auto"/>
              </w:rPr>
            </w:pPr>
            <w:r>
              <w:rPr>
                <w:rFonts w:ascii="Arial" w:cs="Arial" w:eastAsia="Arial" w:hAnsi="Arial"/>
                <w:sz w:val="14"/>
                <w:szCs w:val="14"/>
                <w:color w:val="auto"/>
              </w:rPr>
              <w:t>(US$718) as of December 31, 2024 and 2025,</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80"/>
              <w:spacing w:after="0"/>
              <w:rPr>
                <w:sz w:val="20"/>
                <w:szCs w:val="20"/>
                <w:color w:val="auto"/>
              </w:rPr>
            </w:pPr>
            <w:r>
              <w:rPr>
                <w:rFonts w:ascii="Arial" w:cs="Arial" w:eastAsia="Arial" w:hAnsi="Arial"/>
                <w:sz w:val="14"/>
                <w:szCs w:val="14"/>
                <w:color w:val="auto"/>
              </w:rPr>
              <w:t>respectively)</w:t>
            </w: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700" w:type="dxa"/>
            <w:vAlign w:val="bottom"/>
          </w:tcPr>
          <w:p>
            <w:pPr>
              <w:jc w:val="right"/>
              <w:spacing w:after="0"/>
              <w:rPr>
                <w:sz w:val="20"/>
                <w:szCs w:val="20"/>
                <w:color w:val="auto"/>
              </w:rPr>
            </w:pPr>
            <w:r>
              <w:rPr>
                <w:rFonts w:ascii="Arial" w:cs="Arial" w:eastAsia="Arial" w:hAnsi="Arial"/>
                <w:sz w:val="14"/>
                <w:szCs w:val="14"/>
                <w:color w:val="auto"/>
              </w:rPr>
              <w:t>17,700</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8,616</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6"/>
        </w:trPr>
        <w:tc>
          <w:tcPr>
            <w:tcW w:w="356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Other non-current liabilities (including amounts of the</w:t>
            </w:r>
          </w:p>
        </w:tc>
        <w:tc>
          <w:tcPr>
            <w:tcW w:w="40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VIEs and VIEs’ subsidiaries without recourse to the</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primary beneficiary of RMB1,207 and RMB1,207</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(US$173) as of December 31, 2024 and 2025,</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respectively)</w:t>
            </w:r>
          </w:p>
        </w:tc>
        <w:tc>
          <w:tcPr>
            <w:tcW w:w="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8,350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non-current liabilities</w:t>
            </w: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304,851</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299,964</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42,894</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60" w:type="dxa"/>
            <w:vAlign w:val="bottom"/>
            <w:vMerge w:val="continue"/>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729,680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728,002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104,103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Commitments and contingencies</w:t>
            </w:r>
          </w:p>
        </w:tc>
        <w:tc>
          <w:tcPr>
            <w:tcW w:w="4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equity:</w:t>
            </w:r>
          </w:p>
        </w:tc>
        <w:tc>
          <w:tcPr>
            <w:tcW w:w="4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560" w:type="dxa"/>
            <w:vAlign w:val="bottom"/>
          </w:tcPr>
          <w:p>
            <w:pPr>
              <w:spacing w:after="0" w:line="137" w:lineRule="exact"/>
              <w:rPr>
                <w:sz w:val="20"/>
                <w:szCs w:val="20"/>
                <w:color w:val="auto"/>
              </w:rPr>
            </w:pPr>
            <w:r>
              <w:rPr>
                <w:rFonts w:ascii="Arial" w:cs="Arial" w:eastAsia="Arial" w:hAnsi="Arial"/>
                <w:sz w:val="14"/>
                <w:szCs w:val="14"/>
                <w:color w:val="auto"/>
              </w:rPr>
              <w:t>Series A-1 redeemable convertible preferred shares</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line="156" w:lineRule="exact"/>
              <w:rPr>
                <w:sz w:val="20"/>
                <w:szCs w:val="20"/>
                <w:color w:val="auto"/>
              </w:rPr>
            </w:pPr>
            <w:r>
              <w:rPr>
                <w:rFonts w:ascii="Arial" w:cs="Arial" w:eastAsia="Arial" w:hAnsi="Arial"/>
                <w:sz w:val="14"/>
                <w:szCs w:val="14"/>
                <w:color w:val="auto"/>
              </w:rPr>
              <w:t>(US$0.0001 par value; 6,250,000 shares authorized,</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line="156" w:lineRule="exact"/>
              <w:rPr>
                <w:sz w:val="20"/>
                <w:szCs w:val="20"/>
                <w:color w:val="auto"/>
              </w:rPr>
            </w:pPr>
            <w:r>
              <w:rPr>
                <w:rFonts w:ascii="Arial" w:cs="Arial" w:eastAsia="Arial" w:hAnsi="Arial"/>
                <w:sz w:val="14"/>
                <w:szCs w:val="14"/>
                <w:color w:val="auto"/>
              </w:rPr>
              <w:t>issued and outstanding as of December 31, 2024 and</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60" w:type="dxa"/>
            <w:vAlign w:val="bottom"/>
          </w:tcPr>
          <w:p>
            <w:pPr>
              <w:ind w:left="140"/>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24,526</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26,026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3,722</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Series A-2 redeemable convertible preferred shares</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(US$0.0001 par value; 46,135,648 shares authorized,</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issued and outstanding as of December 31, 2024 and</w:t>
            </w:r>
          </w:p>
        </w:tc>
        <w:tc>
          <w:tcPr>
            <w:tcW w:w="40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2025)</w:t>
            </w:r>
          </w:p>
        </w:tc>
        <w:tc>
          <w:tcPr>
            <w:tcW w:w="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181,039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192,113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w:t>
            </w:r>
          </w:p>
        </w:tc>
        <w:tc>
          <w:tcPr>
            <w:tcW w:w="0" w:type="dxa"/>
            <w:vAlign w:val="bottom"/>
          </w:tcPr>
          <w:p>
            <w:pPr>
              <w:spacing w:after="0"/>
              <w:rPr>
                <w:sz w:val="1"/>
                <w:szCs w:val="1"/>
                <w:color w:val="auto"/>
              </w:rPr>
            </w:pPr>
          </w:p>
        </w:tc>
      </w:tr>
      <w:tr>
        <w:trPr>
          <w:trHeight w:val="137"/>
        </w:trPr>
        <w:tc>
          <w:tcPr>
            <w:tcW w:w="3560" w:type="dxa"/>
            <w:vAlign w:val="bottom"/>
          </w:tcPr>
          <w:p>
            <w:pPr>
              <w:spacing w:after="0" w:line="137" w:lineRule="exact"/>
              <w:rPr>
                <w:sz w:val="20"/>
                <w:szCs w:val="20"/>
                <w:color w:val="auto"/>
              </w:rPr>
            </w:pPr>
            <w:r>
              <w:rPr>
                <w:rFonts w:ascii="Arial" w:cs="Arial" w:eastAsia="Arial" w:hAnsi="Arial"/>
                <w:sz w:val="14"/>
                <w:szCs w:val="14"/>
                <w:color w:val="auto"/>
              </w:rPr>
              <w:t>Series B redeemable convertible preferred shares</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line="156" w:lineRule="exact"/>
              <w:rPr>
                <w:sz w:val="20"/>
                <w:szCs w:val="20"/>
                <w:color w:val="auto"/>
              </w:rPr>
            </w:pPr>
            <w:r>
              <w:rPr>
                <w:rFonts w:ascii="Arial" w:cs="Arial" w:eastAsia="Arial" w:hAnsi="Arial"/>
                <w:sz w:val="14"/>
                <w:szCs w:val="14"/>
                <w:color w:val="auto"/>
              </w:rPr>
              <w:t>(US$0.0001 par value; 11,185,680 shares authorized,</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line="156" w:lineRule="exact"/>
              <w:rPr>
                <w:sz w:val="20"/>
                <w:szCs w:val="20"/>
                <w:color w:val="auto"/>
              </w:rPr>
            </w:pPr>
            <w:r>
              <w:rPr>
                <w:rFonts w:ascii="Arial" w:cs="Arial" w:eastAsia="Arial" w:hAnsi="Arial"/>
                <w:sz w:val="14"/>
                <w:szCs w:val="14"/>
                <w:color w:val="auto"/>
              </w:rPr>
              <w:t>issued and outstanding as of December 31, 2024 and</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60" w:type="dxa"/>
            <w:vAlign w:val="bottom"/>
          </w:tcPr>
          <w:p>
            <w:pPr>
              <w:ind w:left="140"/>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50,532</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56,630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309"/>
        </w:trPr>
        <w:tc>
          <w:tcPr>
            <w:tcW w:w="3560" w:type="dxa"/>
            <w:vAlign w:val="bottom"/>
            <w:tcBorders>
              <w:bottom w:val="single" w:sz="8" w:color="auto"/>
            </w:tcBorders>
          </w:tcPr>
          <w:p>
            <w:pPr>
              <w:ind w:left="3000"/>
              <w:spacing w:after="0"/>
              <w:rPr>
                <w:sz w:val="20"/>
                <w:szCs w:val="20"/>
                <w:color w:val="auto"/>
              </w:rPr>
            </w:pPr>
            <w:r>
              <w:rPr>
                <w:rFonts w:ascii="Arial" w:cs="Arial" w:eastAsia="Arial" w:hAnsi="Arial"/>
                <w:sz w:val="14"/>
                <w:szCs w:val="14"/>
                <w:color w:val="auto"/>
              </w:rPr>
              <w:t>F-4</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02" w:name="page303"/>
    <w:bookmarkEnd w:id="30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CONSOLIDATED BALANCE SHEETS — (Continued)</w:t>
      </w:r>
    </w:p>
    <w:p>
      <w:pPr>
        <w:jc w:val="center"/>
        <w:ind w:right="-21"/>
        <w:spacing w:after="0" w:line="232" w:lineRule="auto"/>
        <w:rPr>
          <w:sz w:val="20"/>
          <w:szCs w:val="20"/>
          <w:color w:val="auto"/>
        </w:rPr>
      </w:pPr>
      <w:r>
        <w:rPr>
          <w:rFonts w:ascii="Arial" w:cs="Arial" w:eastAsia="Arial" w:hAnsi="Arial"/>
          <w:sz w:val="14"/>
          <w:szCs w:val="14"/>
          <w:b w:val="1"/>
          <w:bCs w:val="1"/>
          <w:color w:val="auto"/>
        </w:rPr>
        <w:t>(Amounts in thousands of Renminbi (“RMB”) and US dollar (“US$”),</w:t>
      </w:r>
    </w:p>
    <w:p>
      <w:pPr>
        <w:jc w:val="center"/>
        <w:ind w:right="-21"/>
        <w:spacing w:after="0"/>
        <w:rPr>
          <w:sz w:val="20"/>
          <w:szCs w:val="20"/>
          <w:color w:val="auto"/>
        </w:rPr>
      </w:pPr>
      <w:r>
        <w:rPr>
          <w:rFonts w:ascii="Arial" w:cs="Arial" w:eastAsia="Arial" w:hAnsi="Arial"/>
          <w:sz w:val="14"/>
          <w:szCs w:val="14"/>
          <w:b w:val="1"/>
          <w:bCs w:val="1"/>
          <w:color w:val="auto"/>
        </w:rPr>
        <w:t>except for number of shares and per share data)</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As of December 31,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08"/>
        </w:trPr>
        <w:tc>
          <w:tcPr>
            <w:tcW w:w="328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1"/>
              </w:rPr>
              <w:t>Notes</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2024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8"/>
                <w:szCs w:val="18"/>
                <w:color w:val="auto"/>
              </w:rPr>
            </w:pPr>
          </w:p>
        </w:tc>
      </w:tr>
      <w:tr>
        <w:trPr>
          <w:trHeight w:val="202"/>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85"/>
              <w:spacing w:after="0"/>
              <w:rPr>
                <w:sz w:val="20"/>
                <w:szCs w:val="20"/>
                <w:color w:val="auto"/>
              </w:rPr>
            </w:pPr>
            <w:r>
              <w:rPr>
                <w:rFonts w:ascii="Arial" w:cs="Arial" w:eastAsia="Arial" w:hAnsi="Arial"/>
                <w:sz w:val="11"/>
                <w:szCs w:val="11"/>
                <w:b w:val="1"/>
                <w:bCs w:val="1"/>
                <w:color w:val="auto"/>
              </w:rPr>
              <w:t>RMB</w:t>
            </w:r>
          </w:p>
        </w:tc>
        <w:tc>
          <w:tcPr>
            <w:tcW w:w="9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RMB</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D redeemable convertible preferred shares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(US$0.0001 par value; 88,188,400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746,463</w:t>
            </w: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836,375</w:t>
            </w: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119,600</w:t>
            </w:r>
          </w:p>
        </w:tc>
        <w:tc>
          <w:tcPr>
            <w:tcW w:w="80" w:type="dxa"/>
            <w:vAlign w:val="bottom"/>
            <w:shd w:val="clear" w:color="auto" w:fill="CCEEFF"/>
          </w:tcPr>
          <w:p>
            <w:pPr>
              <w:spacing w:after="0"/>
              <w:rPr>
                <w:sz w:val="17"/>
                <w:szCs w:val="17"/>
                <w:color w:val="auto"/>
              </w:rPr>
            </w:pPr>
          </w:p>
        </w:tc>
      </w:tr>
      <w:tr>
        <w:trPr>
          <w:trHeight w:val="137"/>
        </w:trPr>
        <w:tc>
          <w:tcPr>
            <w:tcW w:w="3600" w:type="dxa"/>
            <w:vAlign w:val="bottom"/>
            <w:gridSpan w:val="2"/>
          </w:tcPr>
          <w:p>
            <w:pPr>
              <w:spacing w:after="0" w:line="137" w:lineRule="exact"/>
              <w:rPr>
                <w:sz w:val="20"/>
                <w:szCs w:val="20"/>
                <w:color w:val="auto"/>
              </w:rPr>
            </w:pPr>
            <w:r>
              <w:rPr>
                <w:rFonts w:ascii="Arial" w:cs="Arial" w:eastAsia="Arial" w:hAnsi="Arial"/>
                <w:sz w:val="14"/>
                <w:szCs w:val="14"/>
                <w:color w:val="auto"/>
              </w:rPr>
              <w:t>Series D-1 redeemable convertible preferred shares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(US$0.0001 par value; 149,920,280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600" w:type="dxa"/>
            <w:vAlign w:val="bottom"/>
            <w:gridSpan w:val="2"/>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1,924,930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2,156,459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308,370</w:t>
            </w:r>
          </w:p>
        </w:tc>
        <w:tc>
          <w:tcPr>
            <w:tcW w:w="80" w:type="dxa"/>
            <w:vAlign w:val="bottom"/>
          </w:tcPr>
          <w:p>
            <w:pPr>
              <w:spacing w:after="0"/>
              <w:rPr>
                <w:sz w:val="16"/>
                <w:szCs w:val="16"/>
                <w:color w:val="auto"/>
              </w:rPr>
            </w:pPr>
          </w:p>
        </w:tc>
      </w:tr>
      <w:tr>
        <w:trPr>
          <w:trHeight w:val="155"/>
        </w:trPr>
        <w:tc>
          <w:tcPr>
            <w:tcW w:w="36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Series E-1 redeemable convertible preferred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(US$0.0001 par value; 108,466,752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1,512,071</w:t>
            </w: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1,694,022</w:t>
            </w: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242,242</w:t>
            </w:r>
          </w:p>
        </w:tc>
        <w:tc>
          <w:tcPr>
            <w:tcW w:w="80" w:type="dxa"/>
            <w:vAlign w:val="bottom"/>
            <w:shd w:val="clear" w:color="auto" w:fill="CCEEFF"/>
          </w:tcPr>
          <w:p>
            <w:pPr>
              <w:spacing w:after="0"/>
              <w:rPr>
                <w:sz w:val="17"/>
                <w:szCs w:val="17"/>
                <w:color w:val="auto"/>
              </w:rPr>
            </w:pPr>
          </w:p>
        </w:tc>
      </w:tr>
      <w:tr>
        <w:trPr>
          <w:trHeight w:val="137"/>
        </w:trPr>
        <w:tc>
          <w:tcPr>
            <w:tcW w:w="3600" w:type="dxa"/>
            <w:vAlign w:val="bottom"/>
            <w:gridSpan w:val="2"/>
          </w:tcPr>
          <w:p>
            <w:pPr>
              <w:spacing w:after="0" w:line="137" w:lineRule="exact"/>
              <w:rPr>
                <w:sz w:val="20"/>
                <w:szCs w:val="20"/>
                <w:color w:val="auto"/>
              </w:rPr>
            </w:pPr>
            <w:r>
              <w:rPr>
                <w:rFonts w:ascii="Arial" w:cs="Arial" w:eastAsia="Arial" w:hAnsi="Arial"/>
                <w:sz w:val="14"/>
                <w:szCs w:val="14"/>
                <w:color w:val="auto"/>
              </w:rPr>
              <w:t>Series E-2 redeemable convertible preferred shares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(US$0.0001 par value; 166,052,206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600" w:type="dxa"/>
            <w:vAlign w:val="bottom"/>
            <w:gridSpan w:val="2"/>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2,934,104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3,286,960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470,029</w:t>
            </w:r>
          </w:p>
        </w:tc>
        <w:tc>
          <w:tcPr>
            <w:tcW w:w="80" w:type="dxa"/>
            <w:vAlign w:val="bottom"/>
          </w:tcPr>
          <w:p>
            <w:pPr>
              <w:spacing w:after="0"/>
              <w:rPr>
                <w:sz w:val="16"/>
                <w:szCs w:val="16"/>
                <w:color w:val="auto"/>
              </w:rPr>
            </w:pPr>
          </w:p>
        </w:tc>
      </w:tr>
      <w:tr>
        <w:trPr>
          <w:trHeight w:val="155"/>
        </w:trPr>
        <w:tc>
          <w:tcPr>
            <w:tcW w:w="36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Series E-3 redeemable convertible preferred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(US$0.0001 par value; 43,099,293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1,260,018</w:t>
            </w: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1,411,557</w:t>
            </w: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201,850</w:t>
            </w:r>
          </w:p>
        </w:tc>
        <w:tc>
          <w:tcPr>
            <w:tcW w:w="80" w:type="dxa"/>
            <w:vAlign w:val="bottom"/>
            <w:shd w:val="clear" w:color="auto" w:fill="CCEEFF"/>
          </w:tcPr>
          <w:p>
            <w:pPr>
              <w:spacing w:after="0"/>
              <w:rPr>
                <w:sz w:val="17"/>
                <w:szCs w:val="17"/>
                <w:color w:val="auto"/>
              </w:rPr>
            </w:pPr>
          </w:p>
        </w:tc>
      </w:tr>
      <w:tr>
        <w:trPr>
          <w:trHeight w:val="137"/>
        </w:trPr>
        <w:tc>
          <w:tcPr>
            <w:tcW w:w="3600" w:type="dxa"/>
            <w:vAlign w:val="bottom"/>
            <w:gridSpan w:val="2"/>
          </w:tcPr>
          <w:p>
            <w:pPr>
              <w:spacing w:after="0" w:line="137" w:lineRule="exact"/>
              <w:rPr>
                <w:sz w:val="20"/>
                <w:szCs w:val="20"/>
                <w:color w:val="auto"/>
              </w:rPr>
            </w:pPr>
            <w:r>
              <w:rPr>
                <w:rFonts w:ascii="Arial" w:cs="Arial" w:eastAsia="Arial" w:hAnsi="Arial"/>
                <w:sz w:val="14"/>
                <w:szCs w:val="14"/>
                <w:color w:val="auto"/>
              </w:rPr>
              <w:t>Series F redeemable convertible preferred shares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(US$0.0001 par value;160,532,881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600" w:type="dxa"/>
            <w:vAlign w:val="bottom"/>
            <w:gridSpan w:val="2"/>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3600" w:type="dxa"/>
            <w:vAlign w:val="bottom"/>
            <w:gridSpan w:val="2"/>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5,808,682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6,508,127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930,650</w:t>
            </w:r>
          </w:p>
        </w:tc>
        <w:tc>
          <w:tcPr>
            <w:tcW w:w="80" w:type="dxa"/>
            <w:vAlign w:val="bottom"/>
          </w:tcPr>
          <w:p>
            <w:pPr>
              <w:spacing w:after="0"/>
              <w:rPr>
                <w:sz w:val="16"/>
                <w:szCs w:val="16"/>
                <w:color w:val="auto"/>
              </w:rPr>
            </w:pPr>
          </w:p>
        </w:tc>
      </w:tr>
      <w:tr>
        <w:trPr>
          <w:trHeight w:val="155"/>
        </w:trPr>
        <w:tc>
          <w:tcPr>
            <w:tcW w:w="36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Series G redeemable convertible preferred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(US$0.0001 par value; 24,422,238 shares</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authorized, issued and outstanding as of</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1"/>
        </w:trPr>
        <w:tc>
          <w:tcPr>
            <w:tcW w:w="3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2024 and 2025)</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340,310</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370,046</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52,915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TOTAL MEZZANINE EQUITY</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14,782,675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16,538,315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2,364,948</w:t>
            </w:r>
          </w:p>
        </w:tc>
        <w:tc>
          <w:tcPr>
            <w:tcW w:w="80" w:type="dxa"/>
            <w:vAlign w:val="bottom"/>
          </w:tcPr>
          <w:p>
            <w:pPr>
              <w:spacing w:after="0"/>
              <w:rPr>
                <w:sz w:val="16"/>
                <w:szCs w:val="16"/>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9"/>
        </w:trPr>
        <w:tc>
          <w:tcPr>
            <w:tcW w:w="3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Shareholders’ deficit: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Ordinary Shares (US$0.0001 par value;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1,216,561,622 shares authorized, 136,159,402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60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shares issued and outstanding as of</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December 31, 2024 and 2025)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r>
      <w:tr>
        <w:trPr>
          <w:trHeight w:val="209"/>
        </w:trPr>
        <w:tc>
          <w:tcPr>
            <w:tcW w:w="360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8"/>
                <w:szCs w:val="18"/>
                <w:color w:val="auto"/>
              </w:rPr>
            </w:pPr>
          </w:p>
        </w:tc>
        <w:tc>
          <w:tcPr>
            <w:tcW w:w="880" w:type="dxa"/>
            <w:vAlign w:val="bottom"/>
            <w:gridSpan w:val="2"/>
          </w:tcPr>
          <w:p>
            <w:pPr>
              <w:jc w:val="right"/>
              <w:ind w:right="85"/>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7"/>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960" w:type="dxa"/>
            <w:vAlign w:val="bottom"/>
            <w:tcBorders>
              <w:righ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4"/>
                <w:szCs w:val="14"/>
                <w:color w:val="auto"/>
              </w:rPr>
              <w:t>(13,982,036)</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(15,828,914)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(2,263,505)</w:t>
            </w:r>
          </w:p>
        </w:tc>
      </w:tr>
      <w:tr>
        <w:trPr>
          <w:trHeight w:val="214"/>
        </w:trPr>
        <w:tc>
          <w:tcPr>
            <w:tcW w:w="3600" w:type="dxa"/>
            <w:vAlign w:val="bottom"/>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8"/>
                <w:szCs w:val="18"/>
                <w:color w:val="auto"/>
              </w:rPr>
            </w:pPr>
          </w:p>
        </w:tc>
        <w:tc>
          <w:tcPr>
            <w:tcW w:w="880" w:type="dxa"/>
            <w:vAlign w:val="bottom"/>
            <w:gridSpan w:val="2"/>
          </w:tcPr>
          <w:p>
            <w:pPr>
              <w:jc w:val="right"/>
              <w:ind w:right="45"/>
              <w:spacing w:after="0"/>
              <w:rPr>
                <w:sz w:val="20"/>
                <w:szCs w:val="20"/>
                <w:color w:val="auto"/>
              </w:rPr>
            </w:pPr>
            <w:r>
              <w:rPr>
                <w:rFonts w:ascii="Arial" w:cs="Arial" w:eastAsia="Arial" w:hAnsi="Arial"/>
                <w:sz w:val="14"/>
                <w:szCs w:val="14"/>
                <w:color w:val="auto"/>
              </w:rPr>
              <w:t>(515)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(2,209)</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(316)</w:t>
            </w:r>
          </w:p>
        </w:tc>
      </w:tr>
      <w:tr>
        <w:trPr>
          <w:trHeight w:val="20"/>
        </w:trPr>
        <w:tc>
          <w:tcPr>
            <w:tcW w:w="36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2"/>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DSC Holdings Ltd. Shareholders’ deficit</w:t>
            </w:r>
          </w:p>
        </w:tc>
        <w:tc>
          <w:tcPr>
            <w:tcW w:w="960" w:type="dxa"/>
            <w:vAlign w:val="bottom"/>
            <w:tcBorders>
              <w:righ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4"/>
                <w:szCs w:val="14"/>
                <w:b w:val="1"/>
                <w:bCs w:val="1"/>
                <w:color w:val="auto"/>
              </w:rPr>
              <w:t>(13,982,428</w:t>
            </w: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8"/>
              </w:rPr>
              <w:t>(15,831,000)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7"/>
              </w:rPr>
              <w:t>(2,263,803)</w:t>
            </w:r>
          </w:p>
        </w:tc>
      </w:tr>
      <w:tr>
        <w:trPr>
          <w:trHeight w:val="194"/>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1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tcPr>
          <w:p>
            <w:pPr>
              <w:spacing w:after="0"/>
              <w:rPr>
                <w:sz w:val="16"/>
                <w:szCs w:val="16"/>
                <w:color w:val="auto"/>
              </w:rPr>
            </w:pPr>
          </w:p>
        </w:tc>
      </w:tr>
      <w:tr>
        <w:trPr>
          <w:trHeight w:val="202"/>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SHAREHOLDERS’ DEFICIT</w:t>
            </w:r>
          </w:p>
        </w:tc>
        <w:tc>
          <w:tcPr>
            <w:tcW w:w="960" w:type="dxa"/>
            <w:vAlign w:val="bottom"/>
            <w:tcBorders>
              <w:righ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4"/>
                <w:szCs w:val="14"/>
                <w:b w:val="1"/>
                <w:bCs w:val="1"/>
                <w:color w:val="auto"/>
              </w:rPr>
              <w:t>(13,981,499</w:t>
            </w: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8"/>
              </w:rPr>
              <w:t>(15,830,911)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7"/>
              </w:rPr>
              <w:t>(2,263,790)</w:t>
            </w:r>
          </w:p>
        </w:tc>
      </w:tr>
      <w:tr>
        <w:trPr>
          <w:trHeight w:val="117"/>
        </w:trPr>
        <w:tc>
          <w:tcPr>
            <w:tcW w:w="36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TOTAL LIABILITIES, MEZZANINE EQUITY AND</w:t>
            </w: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95"/>
        </w:trPr>
        <w:tc>
          <w:tcPr>
            <w:tcW w:w="36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SHAREHOLDERS’ DEFICIT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1,530,856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1,435,406</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205,261</w:t>
            </w:r>
          </w:p>
        </w:tc>
        <w:tc>
          <w:tcPr>
            <w:tcW w:w="80" w:type="dxa"/>
            <w:vAlign w:val="bottom"/>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The accompanying notes are an integral part of these combined and</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consolidated financial statements.</w:t>
      </w:r>
    </w:p>
    <w:p>
      <w:pPr>
        <w:spacing w:after="0" w:line="12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3" w:name="page304"/>
    <w:bookmarkEnd w:id="30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COMBINED AND CONSOLIDATED STATEMENTS OF COMPREHENSIVE LOSS</w:t>
      </w:r>
    </w:p>
    <w:p>
      <w:pPr>
        <w:jc w:val="center"/>
        <w:ind w:right="-21"/>
        <w:spacing w:after="0" w:line="232" w:lineRule="auto"/>
        <w:rPr>
          <w:sz w:val="20"/>
          <w:szCs w:val="20"/>
          <w:color w:val="auto"/>
        </w:rPr>
      </w:pPr>
      <w:r>
        <w:rPr>
          <w:rFonts w:ascii="Arial" w:cs="Arial" w:eastAsia="Arial" w:hAnsi="Arial"/>
          <w:sz w:val="14"/>
          <w:szCs w:val="14"/>
          <w:b w:val="1"/>
          <w:bCs w:val="1"/>
          <w:color w:val="auto"/>
        </w:rPr>
        <w:t>(Amounts in thousands of Renminbi (“RMB”) and US dollar (“US$”),</w:t>
      </w:r>
    </w:p>
    <w:p>
      <w:pPr>
        <w:jc w:val="center"/>
        <w:ind w:right="-21"/>
        <w:spacing w:after="0"/>
        <w:rPr>
          <w:sz w:val="20"/>
          <w:szCs w:val="20"/>
          <w:color w:val="auto"/>
        </w:rPr>
      </w:pPr>
      <w:r>
        <w:rPr>
          <w:rFonts w:ascii="Arial" w:cs="Arial" w:eastAsia="Arial" w:hAnsi="Arial"/>
          <w:sz w:val="14"/>
          <w:szCs w:val="14"/>
          <w:b w:val="1"/>
          <w:bCs w:val="1"/>
          <w:color w:val="auto"/>
        </w:rPr>
        <w:t>except for number of shares and per share data)</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7"/>
          </w:tcPr>
          <w:p>
            <w:pPr>
              <w:ind w:left="60"/>
              <w:spacing w:after="0"/>
              <w:rPr>
                <w:sz w:val="20"/>
                <w:szCs w:val="20"/>
                <w:color w:val="auto"/>
              </w:rPr>
            </w:pPr>
            <w:r>
              <w:rPr>
                <w:rFonts w:ascii="Arial" w:cs="Arial" w:eastAsia="Arial" w:hAnsi="Arial"/>
                <w:sz w:val="11"/>
                <w:szCs w:val="11"/>
                <w:b w:val="1"/>
                <w:bCs w:val="1"/>
                <w:color w:val="auto"/>
              </w:rPr>
              <w:t>For the years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8"/>
              </w:rPr>
              <w:t>Notes</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US$</w:t>
            </w: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(including revenues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from related parties of</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RMB105,702, RMB21,327 and</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RMB62,188 (US$8,893) for</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the years ended December 31,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2023, 2024 and 2025,</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respectively)</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909,044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948,227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677,059</w:t>
            </w: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96,818</w:t>
            </w:r>
          </w:p>
        </w:tc>
      </w:tr>
      <w:tr>
        <w:trPr>
          <w:trHeight w:val="137"/>
        </w:trPr>
        <w:tc>
          <w:tcPr>
            <w:tcW w:w="20" w:type="dxa"/>
            <w:vAlign w:val="bottom"/>
          </w:tcPr>
          <w:p>
            <w:pPr>
              <w:spacing w:after="0"/>
              <w:rPr>
                <w:sz w:val="11"/>
                <w:szCs w:val="11"/>
                <w:color w:val="auto"/>
              </w:rPr>
            </w:pPr>
          </w:p>
        </w:tc>
        <w:tc>
          <w:tcPr>
            <w:tcW w:w="2180" w:type="dxa"/>
            <w:vAlign w:val="bottom"/>
          </w:tcPr>
          <w:p>
            <w:pPr>
              <w:spacing w:after="0" w:line="137" w:lineRule="exact"/>
              <w:rPr>
                <w:sz w:val="20"/>
                <w:szCs w:val="20"/>
                <w:color w:val="auto"/>
              </w:rPr>
            </w:pPr>
            <w:r>
              <w:rPr>
                <w:rFonts w:ascii="Arial" w:cs="Arial" w:eastAsia="Arial" w:hAnsi="Arial"/>
                <w:sz w:val="14"/>
                <w:szCs w:val="14"/>
                <w:color w:val="auto"/>
              </w:rPr>
              <w:t>Cost of revenues (including cost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color w:val="auto"/>
              </w:rPr>
              <w:t>revenues from related parties of</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color w:val="auto"/>
              </w:rPr>
              <w:t>RMB10,804, RMB1,997 and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color w:val="auto"/>
              </w:rPr>
              <w:t>RMB542 (US$77) for the years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color w:val="auto"/>
              </w:rPr>
              <w:t>ended December 31, 2023,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2024 and 2025, respectively)</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(603,327)</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(657,526)</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(416,662)</w:t>
            </w:r>
          </w:p>
        </w:tc>
        <w:tc>
          <w:tcPr>
            <w:tcW w:w="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(59,582)</w:t>
            </w:r>
          </w:p>
        </w:tc>
      </w:tr>
      <w:tr>
        <w:trPr>
          <w:trHeight w:val="201"/>
        </w:trPr>
        <w:tc>
          <w:tcPr>
            <w:tcW w:w="20" w:type="dxa"/>
            <w:vAlign w:val="bottom"/>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305,717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290,701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260,397</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37,236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9"/>
        </w:trPr>
        <w:tc>
          <w:tcPr>
            <w:tcW w:w="22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Sales and marketing expenses</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(265,179)</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(277,584)</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(198,760)</w:t>
            </w: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(28,422)</w:t>
            </w:r>
          </w:p>
        </w:tc>
      </w:tr>
      <w:tr>
        <w:trPr>
          <w:trHeight w:val="146"/>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expenses</w:t>
            </w:r>
          </w:p>
        </w:tc>
        <w:tc>
          <w:tcPr>
            <w:tcW w:w="3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(145,509)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(101,628)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(78,909)</w:t>
            </w: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(11,284)</w:t>
            </w:r>
          </w:p>
        </w:tc>
      </w:tr>
      <w:tr>
        <w:trPr>
          <w:trHeight w:val="137"/>
        </w:trPr>
        <w:tc>
          <w:tcPr>
            <w:tcW w:w="20" w:type="dxa"/>
            <w:vAlign w:val="bottom"/>
          </w:tcPr>
          <w:p>
            <w:pPr>
              <w:spacing w:after="0"/>
              <w:rPr>
                <w:sz w:val="11"/>
                <w:szCs w:val="11"/>
                <w:color w:val="auto"/>
              </w:rPr>
            </w:pPr>
          </w:p>
        </w:tc>
        <w:tc>
          <w:tcPr>
            <w:tcW w:w="2180" w:type="dxa"/>
            <w:vAlign w:val="bottom"/>
          </w:tcPr>
          <w:p>
            <w:pPr>
              <w:ind w:left="120"/>
              <w:spacing w:after="0" w:line="137" w:lineRule="exact"/>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2180" w:type="dxa"/>
            <w:vAlign w:val="bottom"/>
          </w:tcPr>
          <w:p>
            <w:pPr>
              <w:ind w:left="260"/>
              <w:spacing w:after="0"/>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(85,600)</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(100,039)</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(84,662)</w:t>
            </w:r>
          </w:p>
        </w:tc>
        <w:tc>
          <w:tcPr>
            <w:tcW w:w="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(12,107)</w:t>
            </w: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operating expenses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(496,288)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(479,251)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(362,331)</w:t>
            </w: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(51,813)</w:t>
            </w:r>
          </w:p>
        </w:tc>
      </w:tr>
      <w:tr>
        <w:trPr>
          <w:trHeight w:val="20"/>
        </w:trPr>
        <w:tc>
          <w:tcPr>
            <w:tcW w:w="2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Loss from operations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(190,571)</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(188,550)</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(101,934)</w:t>
            </w:r>
          </w:p>
        </w:tc>
        <w:tc>
          <w:tcPr>
            <w:tcW w:w="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(14,577)</w:t>
            </w:r>
          </w:p>
        </w:tc>
      </w:tr>
      <w:tr>
        <w:trPr>
          <w:trHeight w:val="209"/>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(805)</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(4,745)</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(3,701)</w:t>
            </w: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(529)</w:t>
            </w:r>
          </w:p>
        </w:tc>
      </w:tr>
      <w:tr>
        <w:trPr>
          <w:trHeight w:val="146"/>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Foreign exchange gain (loss),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Others, net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(189,326)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(158,854)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(94,852)</w:t>
            </w: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(13,564)</w:t>
            </w:r>
          </w:p>
        </w:tc>
      </w:tr>
      <w:tr>
        <w:trPr>
          <w:trHeight w:val="209"/>
        </w:trPr>
        <w:tc>
          <w:tcPr>
            <w:tcW w:w="20" w:type="dxa"/>
            <w:vAlign w:val="bottom"/>
          </w:tcPr>
          <w:p>
            <w:pPr>
              <w:spacing w:after="0"/>
              <w:rPr>
                <w:sz w:val="18"/>
                <w:szCs w:val="18"/>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Income tax expenses</w:t>
            </w:r>
          </w:p>
        </w:tc>
        <w:tc>
          <w:tcPr>
            <w:tcW w:w="320" w:type="dxa"/>
            <w:vAlign w:val="bottom"/>
          </w:tcPr>
          <w:p>
            <w:pPr>
              <w:jc w:val="center"/>
              <w:spacing w:after="0"/>
              <w:rPr>
                <w:sz w:val="20"/>
                <w:szCs w:val="20"/>
                <w:color w:val="auto"/>
              </w:rPr>
            </w:pPr>
            <w:r>
              <w:rPr>
                <w:rFonts w:ascii="Arial" w:cs="Arial" w:eastAsia="Arial" w:hAnsi="Arial"/>
                <w:sz w:val="14"/>
                <w:szCs w:val="14"/>
                <w:color w:val="auto"/>
              </w:rPr>
              <w:t>16</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(742)</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color w:val="auto"/>
              </w:rPr>
              <w:t>(384)</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(818)</w:t>
            </w: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(117)</w:t>
            </w:r>
          </w:p>
        </w:tc>
      </w:tr>
      <w:tr>
        <w:trPr>
          <w:trHeight w:val="146"/>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Share of profit from equity</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2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method investments</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00"/>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Net loss</w:t>
            </w:r>
          </w:p>
        </w:tc>
        <w:tc>
          <w:tcPr>
            <w:tcW w:w="32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(186,580)</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(157,122)</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(94,559)</w:t>
            </w:r>
          </w:p>
        </w:tc>
        <w:tc>
          <w:tcPr>
            <w:tcW w:w="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(13,522)</w:t>
            </w: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(8,216)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(2,316)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w:t>
            </w:r>
          </w:p>
        </w:tc>
      </w:tr>
      <w:tr>
        <w:trPr>
          <w:trHeight w:val="131"/>
        </w:trPr>
        <w:tc>
          <w:tcPr>
            <w:tcW w:w="20" w:type="dxa"/>
            <w:vAlign w:val="bottom"/>
          </w:tcPr>
          <w:p>
            <w:pPr>
              <w:spacing w:after="0"/>
              <w:rPr>
                <w:sz w:val="11"/>
                <w:szCs w:val="11"/>
                <w:color w:val="auto"/>
              </w:rPr>
            </w:pPr>
          </w:p>
        </w:tc>
        <w:tc>
          <w:tcPr>
            <w:tcW w:w="218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Net loss attributable to DSC</w:t>
            </w:r>
          </w:p>
        </w:tc>
        <w:tc>
          <w:tcPr>
            <w:tcW w:w="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Holdings Ltd.</w:t>
            </w:r>
          </w:p>
        </w:tc>
        <w:tc>
          <w:tcPr>
            <w:tcW w:w="32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(178,364)</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(154,806)</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(95,050)</w:t>
            </w:r>
          </w:p>
        </w:tc>
        <w:tc>
          <w:tcPr>
            <w:tcW w:w="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(13,592)</w:t>
            </w: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Cancellation of preferred shares</w:t>
            </w: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7"/>
        </w:trPr>
        <w:tc>
          <w:tcPr>
            <w:tcW w:w="20" w:type="dxa"/>
            <w:vAlign w:val="bottom"/>
          </w:tcPr>
          <w:p>
            <w:pPr>
              <w:spacing w:after="0"/>
              <w:rPr>
                <w:sz w:val="11"/>
                <w:szCs w:val="11"/>
                <w:color w:val="auto"/>
              </w:rPr>
            </w:pPr>
          </w:p>
        </w:tc>
        <w:tc>
          <w:tcPr>
            <w:tcW w:w="2180" w:type="dxa"/>
            <w:vAlign w:val="bottom"/>
          </w:tcPr>
          <w:p>
            <w:pPr>
              <w:spacing w:after="0" w:line="137" w:lineRule="exact"/>
              <w:rPr>
                <w:sz w:val="20"/>
                <w:szCs w:val="20"/>
                <w:color w:val="auto"/>
              </w:rPr>
            </w:pPr>
            <w:r>
              <w:rPr>
                <w:rFonts w:ascii="Arial" w:cs="Arial" w:eastAsia="Arial" w:hAnsi="Arial"/>
                <w:sz w:val="14"/>
                <w:szCs w:val="14"/>
                <w:color w:val="auto"/>
              </w:rPr>
              <w:t>Deemed dividends from</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color w:val="auto"/>
              </w:rPr>
              <w:t>modifications of preferred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180" w:type="dxa"/>
            <w:vAlign w:val="bottom"/>
          </w:tcPr>
          <w:p>
            <w:pPr>
              <w:ind w:left="12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(8,874)</w:t>
            </w: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13"/>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Accretion of preferred shares</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(6,529,630)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(1,507,652)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(1,755,640)</w:t>
            </w: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(251,053)</w:t>
            </w:r>
          </w:p>
        </w:tc>
      </w:tr>
      <w:tr>
        <w:trPr>
          <w:trHeight w:val="131"/>
        </w:trPr>
        <w:tc>
          <w:tcPr>
            <w:tcW w:w="20" w:type="dxa"/>
            <w:vAlign w:val="bottom"/>
          </w:tcPr>
          <w:p>
            <w:pPr>
              <w:spacing w:after="0"/>
              <w:rPr>
                <w:sz w:val="11"/>
                <w:szCs w:val="11"/>
                <w:color w:val="auto"/>
              </w:rPr>
            </w:pPr>
          </w:p>
        </w:tc>
        <w:tc>
          <w:tcPr>
            <w:tcW w:w="218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Net loss attributable to ordinary</w:t>
            </w:r>
          </w:p>
        </w:tc>
        <w:tc>
          <w:tcPr>
            <w:tcW w:w="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shareholders of DSC Holdings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Ltd.</w:t>
            </w:r>
          </w:p>
        </w:tc>
        <w:tc>
          <w:tcPr>
            <w:tcW w:w="32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(6,603,498)</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(1,662,458)</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(1,850,690)</w:t>
            </w:r>
          </w:p>
        </w:tc>
        <w:tc>
          <w:tcPr>
            <w:tcW w:w="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(264,645)</w:t>
            </w: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Loss per share: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(48.50)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(12.21)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(13.59)</w:t>
            </w:r>
          </w:p>
        </w:tc>
        <w:tc>
          <w:tcPr>
            <w:tcW w:w="60" w:type="dxa"/>
            <w:vAlign w:val="bottom"/>
            <w:tcBorders>
              <w:righ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w:t>
            </w:r>
          </w:p>
        </w:tc>
      </w:tr>
      <w:tr>
        <w:trPr>
          <w:trHeight w:val="212"/>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shares: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136,159,402</w:t>
            </w:r>
          </w:p>
        </w:tc>
      </w:tr>
      <w:tr>
        <w:trPr>
          <w:trHeight w:val="301"/>
        </w:trPr>
        <w:tc>
          <w:tcPr>
            <w:tcW w:w="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F-6</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304" w:name="page305"/>
    <w:bookmarkEnd w:id="30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COMBINED AND CONSOLIDATED STATEMENTS OF COMPREHENSIVE LOSS — (Continued)</w:t>
      </w:r>
    </w:p>
    <w:p>
      <w:pPr>
        <w:jc w:val="center"/>
        <w:ind w:right="-21"/>
        <w:spacing w:after="0" w:line="232" w:lineRule="auto"/>
        <w:rPr>
          <w:sz w:val="20"/>
          <w:szCs w:val="20"/>
          <w:color w:val="auto"/>
        </w:rPr>
      </w:pPr>
      <w:r>
        <w:rPr>
          <w:rFonts w:ascii="Arial" w:cs="Arial" w:eastAsia="Arial" w:hAnsi="Arial"/>
          <w:sz w:val="14"/>
          <w:szCs w:val="14"/>
          <w:b w:val="1"/>
          <w:bCs w:val="1"/>
          <w:color w:val="auto"/>
        </w:rPr>
        <w:t>(Amounts in thousands of Renminbi (“RMB”) and US dollar (“US$”),</w:t>
      </w:r>
    </w:p>
    <w:p>
      <w:pPr>
        <w:jc w:val="center"/>
        <w:ind w:right="-21"/>
        <w:spacing w:after="0"/>
        <w:rPr>
          <w:sz w:val="20"/>
          <w:szCs w:val="20"/>
          <w:color w:val="auto"/>
        </w:rPr>
      </w:pPr>
      <w:r>
        <w:rPr>
          <w:rFonts w:ascii="Arial" w:cs="Arial" w:eastAsia="Arial" w:hAnsi="Arial"/>
          <w:sz w:val="14"/>
          <w:szCs w:val="14"/>
          <w:b w:val="1"/>
          <w:bCs w:val="1"/>
          <w:color w:val="auto"/>
        </w:rPr>
        <w:t>except for number of shares and per share data)</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8"/>
              </w:rPr>
              <w:t>Notes</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960" w:type="dxa"/>
            <w:vAlign w:val="bottom"/>
            <w:gridSpan w:val="4"/>
          </w:tcPr>
          <w:p>
            <w:pPr>
              <w:ind w:left="260"/>
              <w:spacing w:after="0"/>
              <w:rPr>
                <w:sz w:val="20"/>
                <w:szCs w:val="20"/>
                <w:color w:val="auto"/>
              </w:rPr>
            </w:pPr>
            <w:r>
              <w:rPr>
                <w:rFonts w:ascii="Arial" w:cs="Arial" w:eastAsia="Arial" w:hAnsi="Arial"/>
                <w:sz w:val="11"/>
                <w:szCs w:val="11"/>
                <w:b w:val="1"/>
                <w:bCs w:val="1"/>
                <w:color w:val="auto"/>
              </w:rPr>
              <w:t>RMB</w:t>
            </w: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comprehensive loss, net of</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tax of nil:</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80" w:type="dxa"/>
            <w:vAlign w:val="bottom"/>
            <w:gridSpan w:val="3"/>
          </w:tcPr>
          <w:p>
            <w:pPr>
              <w:ind w:left="120"/>
              <w:spacing w:after="0" w:line="137" w:lineRule="exact"/>
              <w:rPr>
                <w:sz w:val="20"/>
                <w:szCs w:val="20"/>
                <w:color w:val="auto"/>
              </w:rPr>
            </w:pPr>
            <w:r>
              <w:rPr>
                <w:rFonts w:ascii="Arial" w:cs="Arial" w:eastAsia="Arial" w:hAnsi="Arial"/>
                <w:sz w:val="14"/>
                <w:szCs w:val="14"/>
                <w:color w:val="auto"/>
              </w:rPr>
              <w:t>Foreign currency translation</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80" w:type="dxa"/>
            <w:vAlign w:val="bottom"/>
            <w:gridSpan w:val="3"/>
          </w:tcPr>
          <w:p>
            <w:pPr>
              <w:ind w:left="260"/>
              <w:spacing w:after="0"/>
              <w:rPr>
                <w:sz w:val="20"/>
                <w:szCs w:val="20"/>
                <w:color w:val="auto"/>
              </w:rPr>
            </w:pPr>
            <w:r>
              <w:rPr>
                <w:rFonts w:ascii="Arial" w:cs="Arial" w:eastAsia="Arial" w:hAnsi="Arial"/>
                <w:sz w:val="14"/>
                <w:szCs w:val="14"/>
                <w:color w:val="auto"/>
              </w:rPr>
              <w:t>adjustments</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(1,191)</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(1,694)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Comprehensive loss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(187,771)</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(155,957)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(96,253)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(13,764)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880" w:type="dxa"/>
            <w:vAlign w:val="bottom"/>
            <w:gridSpan w:val="3"/>
            <w:shd w:val="clear" w:color="auto" w:fill="CCEEFF"/>
          </w:tcPr>
          <w:p>
            <w:pPr>
              <w:spacing w:after="0" w:line="137" w:lineRule="exact"/>
              <w:rPr>
                <w:sz w:val="20"/>
                <w:szCs w:val="20"/>
                <w:color w:val="auto"/>
              </w:rPr>
            </w:pPr>
            <w:r>
              <w:rPr>
                <w:rFonts w:ascii="Arial" w:cs="Arial" w:eastAsia="Arial" w:hAnsi="Arial"/>
                <w:sz w:val="14"/>
                <w:szCs w:val="14"/>
                <w:color w:val="auto"/>
              </w:rPr>
              <w:t>Comprehensive loss attributable to</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(8,216)</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(2,316)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491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bottom w:val="single" w:sz="8" w:color="CCEEFF"/>
            </w:tcBorders>
            <w:gridSpan w:val="3"/>
            <w:vMerge w:val="restart"/>
          </w:tcPr>
          <w:p>
            <w:pPr>
              <w:spacing w:after="0" w:line="127" w:lineRule="exact"/>
              <w:rPr>
                <w:sz w:val="20"/>
                <w:szCs w:val="20"/>
                <w:color w:val="auto"/>
              </w:rPr>
            </w:pPr>
            <w:r>
              <w:rPr>
                <w:rFonts w:ascii="Arial" w:cs="Arial" w:eastAsia="Arial" w:hAnsi="Arial"/>
                <w:sz w:val="14"/>
                <w:szCs w:val="14"/>
                <w:b w:val="1"/>
                <w:bCs w:val="1"/>
                <w:color w:val="auto"/>
              </w:rPr>
              <w:t>Comprehensive loss attributable to</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tcPr>
          <w:p>
            <w:pPr>
              <w:spacing w:after="0"/>
              <w:rPr>
                <w:sz w:val="7"/>
                <w:szCs w:val="7"/>
                <w:color w:val="auto"/>
              </w:rPr>
            </w:pPr>
          </w:p>
        </w:tc>
        <w:tc>
          <w:tcPr>
            <w:tcW w:w="28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gridSpan w:val="3"/>
          </w:tcPr>
          <w:p>
            <w:pPr>
              <w:ind w:left="120"/>
              <w:spacing w:after="0"/>
              <w:rPr>
                <w:sz w:val="20"/>
                <w:szCs w:val="20"/>
                <w:color w:val="auto"/>
              </w:rPr>
            </w:pPr>
            <w:r>
              <w:rPr>
                <w:rFonts w:ascii="Arial" w:cs="Arial" w:eastAsia="Arial" w:hAnsi="Arial"/>
                <w:sz w:val="14"/>
                <w:szCs w:val="14"/>
                <w:b w:val="1"/>
                <w:bCs w:val="1"/>
                <w:color w:val="auto"/>
              </w:rPr>
              <w:t>DSC Holdings Ltd.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(179,555)</w:t>
            </w:r>
          </w:p>
        </w:tc>
        <w:tc>
          <w:tcPr>
            <w:tcW w:w="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(153,641)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(96,744)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(13,834)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80" w:type="dxa"/>
            <w:vAlign w:val="bottom"/>
            <w:tcBorders>
              <w:top w:val="single" w:sz="8" w:color="CCEEFF"/>
            </w:tcBorders>
            <w:gridSpan w:val="3"/>
            <w:shd w:val="clear" w:color="auto" w:fill="CCEEFF"/>
          </w:tcPr>
          <w:p>
            <w:pPr>
              <w:spacing w:after="0" w:line="150" w:lineRule="exact"/>
              <w:rPr>
                <w:sz w:val="20"/>
                <w:szCs w:val="20"/>
                <w:color w:val="auto"/>
              </w:rPr>
            </w:pPr>
            <w:r>
              <w:rPr>
                <w:rFonts w:ascii="Arial" w:cs="Arial" w:eastAsia="Arial" w:hAnsi="Arial"/>
                <w:sz w:val="14"/>
                <w:szCs w:val="14"/>
                <w:color w:val="auto"/>
              </w:rPr>
              <w:t>Cancellation of preferred shares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113,370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71"/>
              </w:rPr>
              <w:t>—</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80" w:type="dxa"/>
            <w:vAlign w:val="bottom"/>
            <w:gridSpan w:val="3"/>
          </w:tcPr>
          <w:p>
            <w:pPr>
              <w:spacing w:after="0" w:line="137" w:lineRule="exact"/>
              <w:rPr>
                <w:sz w:val="20"/>
                <w:szCs w:val="20"/>
                <w:color w:val="auto"/>
              </w:rPr>
            </w:pPr>
            <w:r>
              <w:rPr>
                <w:rFonts w:ascii="Arial" w:cs="Arial" w:eastAsia="Arial" w:hAnsi="Arial"/>
                <w:sz w:val="14"/>
                <w:szCs w:val="14"/>
                <w:color w:val="auto"/>
              </w:rPr>
              <w:t>Deemed dividends from the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3"/>
          </w:tcPr>
          <w:p>
            <w:pPr>
              <w:ind w:left="120"/>
              <w:spacing w:after="0"/>
              <w:rPr>
                <w:sz w:val="20"/>
                <w:szCs w:val="20"/>
                <w:color w:val="auto"/>
              </w:rPr>
            </w:pPr>
            <w:r>
              <w:rPr>
                <w:rFonts w:ascii="Arial" w:cs="Arial" w:eastAsia="Arial" w:hAnsi="Arial"/>
                <w:sz w:val="14"/>
                <w:szCs w:val="14"/>
                <w:color w:val="auto"/>
              </w:rPr>
              <w:t>modifications of preferred shares</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(8,874)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Accretion of preferred shares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(6,529,630)</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(1,507,652)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(1,755,640)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(251,053)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880" w:type="dxa"/>
            <w:vAlign w:val="bottom"/>
            <w:gridSpan w:val="3"/>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Comprehensive loss attributable to</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3"/>
            <w:shd w:val="clear" w:color="auto" w:fill="CCEEFF"/>
          </w:tcPr>
          <w:p>
            <w:pPr>
              <w:ind w:left="120"/>
              <w:spacing w:after="0" w:line="156" w:lineRule="exact"/>
              <w:rPr>
                <w:sz w:val="20"/>
                <w:szCs w:val="20"/>
                <w:color w:val="auto"/>
              </w:rPr>
            </w:pPr>
            <w:r>
              <w:rPr>
                <w:rFonts w:ascii="Arial" w:cs="Arial" w:eastAsia="Arial" w:hAnsi="Arial"/>
                <w:sz w:val="14"/>
                <w:szCs w:val="14"/>
                <w:b w:val="1"/>
                <w:bCs w:val="1"/>
                <w:color w:val="auto"/>
              </w:rPr>
              <w:t>ordinary shareholders of DSC</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Holdings Ltd.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4"/>
              </w:rPr>
              <w:t>(6,604,689)</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(1,661,293)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(1,852,384)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(264,887)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The accompanying notes are an integral part of these combined and</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consolidated financial statements.</w:t>
      </w:r>
    </w:p>
    <w:p>
      <w:pPr>
        <w:spacing w:after="0" w:line="11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5" w:name="page306"/>
    <w:bookmarkEnd w:id="30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13" w:lineRule="exact"/>
        <w:rPr>
          <w:sz w:val="20"/>
          <w:szCs w:val="20"/>
          <w:color w:val="auto"/>
        </w:rPr>
      </w:pPr>
    </w:p>
    <w:p>
      <w:pPr>
        <w:jc w:val="center"/>
        <w:ind w:left="1420" w:right="1418"/>
        <w:spacing w:after="0" w:line="242" w:lineRule="auto"/>
        <w:rPr>
          <w:sz w:val="20"/>
          <w:szCs w:val="20"/>
          <w:color w:val="auto"/>
        </w:rPr>
      </w:pPr>
      <w:r>
        <w:rPr>
          <w:rFonts w:ascii="Arial" w:cs="Arial" w:eastAsia="Arial" w:hAnsi="Arial"/>
          <w:sz w:val="14"/>
          <w:szCs w:val="14"/>
          <w:b w:val="1"/>
          <w:bCs w:val="1"/>
          <w:color w:val="auto"/>
        </w:rPr>
        <w:t>COMBINED AND CONSOLIDATED STATEMENTS OF CHANGES IN SHAREHOLDERS’ DEFICIT (Amounts in thousands of Renminbi (“RMB”) and US dollar (“US$”), except for number of shares)</w:t>
      </w:r>
    </w:p>
    <w:p>
      <w:pPr>
        <w:spacing w:after="0" w:line="15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13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Attributable to DSC Holdings Ltd.</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1200" w:type="dxa"/>
            <w:vAlign w:val="bottom"/>
            <w:gridSpan w:val="2"/>
            <w:vMerge w:val="restart"/>
          </w:tcPr>
          <w:p>
            <w:pPr>
              <w:jc w:val="right"/>
              <w:ind w:right="145"/>
              <w:spacing w:after="0"/>
              <w:rPr>
                <w:sz w:val="20"/>
                <w:szCs w:val="20"/>
                <w:color w:val="auto"/>
              </w:rPr>
            </w:pPr>
            <w:r>
              <w:rPr>
                <w:rFonts w:ascii="Arial" w:cs="Arial" w:eastAsia="Arial" w:hAnsi="Arial"/>
                <w:sz w:val="11"/>
                <w:szCs w:val="11"/>
                <w:b w:val="1"/>
                <w:bCs w:val="1"/>
                <w:color w:val="auto"/>
              </w:rPr>
              <w:t>Ordinary shares</w:t>
            </w:r>
          </w:p>
        </w:tc>
        <w:tc>
          <w:tcPr>
            <w:tcW w:w="66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rPr>
              <w:t>Accumulated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3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60" w:type="dxa"/>
            <w:vAlign w:val="bottom"/>
          </w:tcPr>
          <w:p>
            <w:pPr>
              <w:jc w:val="center"/>
              <w:ind w:right="25"/>
              <w:spacing w:after="0" w:line="125" w:lineRule="exact"/>
              <w:rPr>
                <w:sz w:val="20"/>
                <w:szCs w:val="20"/>
                <w:color w:val="auto"/>
              </w:rPr>
            </w:pPr>
            <w:r>
              <w:rPr>
                <w:rFonts w:ascii="Arial" w:cs="Arial" w:eastAsia="Arial" w:hAnsi="Arial"/>
                <w:sz w:val="11"/>
                <w:szCs w:val="11"/>
                <w:b w:val="1"/>
                <w:bCs w:val="1"/>
                <w:color w:val="auto"/>
              </w:rPr>
              <w:t>Additional</w:t>
            </w:r>
          </w:p>
        </w:tc>
        <w:tc>
          <w:tcPr>
            <w:tcW w:w="860" w:type="dxa"/>
            <w:vAlign w:val="bottom"/>
            <w:gridSpan w:val="3"/>
          </w:tcPr>
          <w:p>
            <w:pPr>
              <w:jc w:val="center"/>
              <w:ind w:right="60"/>
              <w:spacing w:after="0" w:line="125" w:lineRule="exact"/>
              <w:rPr>
                <w:sz w:val="20"/>
                <w:szCs w:val="20"/>
                <w:color w:val="auto"/>
              </w:rPr>
            </w:pPr>
            <w:r>
              <w:rPr>
                <w:rFonts w:ascii="Arial" w:cs="Arial" w:eastAsia="Arial" w:hAnsi="Arial"/>
                <w:sz w:val="11"/>
                <w:szCs w:val="11"/>
                <w:b w:val="1"/>
                <w:bCs w:val="1"/>
                <w:color w:val="auto"/>
              </w:rPr>
              <w:t>other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w w:val="95"/>
              </w:rPr>
              <w:t>Non-</w:t>
            </w:r>
          </w:p>
        </w:tc>
        <w:tc>
          <w:tcPr>
            <w:tcW w:w="7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5"/>
        </w:trPr>
        <w:tc>
          <w:tcPr>
            <w:tcW w:w="1320" w:type="dxa"/>
            <w:vAlign w:val="bottom"/>
          </w:tcPr>
          <w:p>
            <w:pPr>
              <w:spacing w:after="0"/>
              <w:rPr>
                <w:sz w:val="9"/>
                <w:szCs w:val="9"/>
                <w:color w:val="auto"/>
              </w:rPr>
            </w:pPr>
          </w:p>
        </w:tc>
        <w:tc>
          <w:tcPr>
            <w:tcW w:w="680" w:type="dxa"/>
            <w:vAlign w:val="bottom"/>
            <w:tcBorders>
              <w:top w:val="single" w:sz="8" w:color="auto"/>
            </w:tcBorders>
          </w:tcPr>
          <w:p>
            <w:pPr>
              <w:jc w:val="right"/>
              <w:ind w:right="45"/>
              <w:spacing w:after="0" w:line="105" w:lineRule="exact"/>
              <w:rPr>
                <w:sz w:val="20"/>
                <w:szCs w:val="20"/>
                <w:color w:val="auto"/>
              </w:rPr>
            </w:pPr>
            <w:r>
              <w:rPr>
                <w:rFonts w:ascii="Arial" w:cs="Arial" w:eastAsia="Arial" w:hAnsi="Arial"/>
                <w:sz w:val="11"/>
                <w:szCs w:val="11"/>
                <w:b w:val="1"/>
                <w:bCs w:val="1"/>
                <w:color w:val="auto"/>
              </w:rPr>
              <w:t>Number of</w:t>
            </w:r>
          </w:p>
        </w:tc>
        <w:tc>
          <w:tcPr>
            <w:tcW w:w="520" w:type="dxa"/>
            <w:vAlign w:val="bottom"/>
            <w:tcBorders>
              <w:top w:val="single" w:sz="8" w:color="auto"/>
            </w:tcBorders>
          </w:tcPr>
          <w:p>
            <w:pPr>
              <w:spacing w:after="0"/>
              <w:rPr>
                <w:sz w:val="9"/>
                <w:szCs w:val="9"/>
                <w:color w:val="auto"/>
              </w:rPr>
            </w:pPr>
          </w:p>
        </w:tc>
        <w:tc>
          <w:tcPr>
            <w:tcW w:w="660" w:type="dxa"/>
            <w:vAlign w:val="bottom"/>
          </w:tcPr>
          <w:p>
            <w:pPr>
              <w:jc w:val="center"/>
              <w:ind w:right="5"/>
              <w:spacing w:after="0" w:line="105" w:lineRule="exact"/>
              <w:rPr>
                <w:sz w:val="20"/>
                <w:szCs w:val="20"/>
                <w:color w:val="auto"/>
              </w:rPr>
            </w:pPr>
            <w:r>
              <w:rPr>
                <w:rFonts w:ascii="Arial" w:cs="Arial" w:eastAsia="Arial" w:hAnsi="Arial"/>
                <w:sz w:val="11"/>
                <w:szCs w:val="11"/>
                <w:b w:val="1"/>
                <w:bCs w:val="1"/>
                <w:color w:val="auto"/>
              </w:rPr>
              <w:t>paid in</w:t>
            </w:r>
          </w:p>
        </w:tc>
        <w:tc>
          <w:tcPr>
            <w:tcW w:w="860" w:type="dxa"/>
            <w:vAlign w:val="bottom"/>
            <w:gridSpan w:val="3"/>
          </w:tcPr>
          <w:p>
            <w:pPr>
              <w:jc w:val="center"/>
              <w:ind w:right="60"/>
              <w:spacing w:after="0" w:line="105" w:lineRule="exact"/>
              <w:rPr>
                <w:sz w:val="20"/>
                <w:szCs w:val="20"/>
                <w:color w:val="auto"/>
              </w:rPr>
            </w:pPr>
            <w:r>
              <w:rPr>
                <w:rFonts w:ascii="Arial" w:cs="Arial" w:eastAsia="Arial" w:hAnsi="Arial"/>
                <w:sz w:val="11"/>
                <w:szCs w:val="11"/>
                <w:b w:val="1"/>
                <w:bCs w:val="1"/>
                <w:color w:val="auto"/>
                <w:w w:val="99"/>
              </w:rPr>
              <w:t>comprehensive</w:t>
            </w:r>
          </w:p>
        </w:tc>
        <w:tc>
          <w:tcPr>
            <w:tcW w:w="780" w:type="dxa"/>
            <w:vAlign w:val="bottom"/>
            <w:gridSpan w:val="2"/>
          </w:tcPr>
          <w:p>
            <w:pPr>
              <w:jc w:val="center"/>
              <w:ind w:right="40"/>
              <w:spacing w:after="0" w:line="105" w:lineRule="exact"/>
              <w:rPr>
                <w:sz w:val="20"/>
                <w:szCs w:val="20"/>
                <w:color w:val="auto"/>
              </w:rPr>
            </w:pPr>
            <w:r>
              <w:rPr>
                <w:rFonts w:ascii="Arial" w:cs="Arial" w:eastAsia="Arial" w:hAnsi="Arial"/>
                <w:sz w:val="11"/>
                <w:szCs w:val="11"/>
                <w:b w:val="1"/>
                <w:bCs w:val="1"/>
                <w:color w:val="auto"/>
              </w:rPr>
              <w:t>Accumulated</w:t>
            </w:r>
          </w:p>
        </w:tc>
        <w:tc>
          <w:tcPr>
            <w:tcW w:w="640" w:type="dxa"/>
            <w:vAlign w:val="bottom"/>
            <w:gridSpan w:val="2"/>
          </w:tcPr>
          <w:p>
            <w:pPr>
              <w:jc w:val="center"/>
              <w:ind w:right="40"/>
              <w:spacing w:after="0" w:line="105" w:lineRule="exact"/>
              <w:rPr>
                <w:sz w:val="20"/>
                <w:szCs w:val="20"/>
                <w:color w:val="auto"/>
              </w:rPr>
            </w:pPr>
            <w:r>
              <w:rPr>
                <w:rFonts w:ascii="Arial" w:cs="Arial" w:eastAsia="Arial" w:hAnsi="Arial"/>
                <w:sz w:val="11"/>
                <w:szCs w:val="11"/>
                <w:b w:val="1"/>
                <w:bCs w:val="1"/>
                <w:color w:val="auto"/>
                <w:w w:val="98"/>
              </w:rPr>
              <w:t>controlling</w:t>
            </w:r>
          </w:p>
        </w:tc>
        <w:tc>
          <w:tcPr>
            <w:tcW w:w="76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auto"/>
                <w:w w:val="99"/>
              </w:rPr>
              <w:t>shareholders’</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68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rPr>
              <w:t>capital</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loss</w:t>
            </w:r>
          </w:p>
        </w:tc>
        <w:tc>
          <w:tcPr>
            <w:tcW w:w="60" w:type="dxa"/>
            <w:vAlign w:val="bottom"/>
          </w:tcPr>
          <w:p>
            <w:pPr>
              <w:spacing w:after="0"/>
              <w:rPr>
                <w:sz w:val="13"/>
                <w:szCs w:val="13"/>
                <w:color w:val="auto"/>
              </w:rPr>
            </w:pPr>
          </w:p>
        </w:tc>
        <w:tc>
          <w:tcPr>
            <w:tcW w:w="7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rPr>
              <w:t>deficit</w:t>
            </w:r>
          </w:p>
        </w:tc>
        <w:tc>
          <w:tcPr>
            <w:tcW w:w="6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rPr>
              <w:t>interests</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8"/>
              </w:rPr>
              <w:t>deficit</w:t>
            </w: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ind w:right="105"/>
              <w:spacing w:after="0"/>
              <w:rPr>
                <w:sz w:val="20"/>
                <w:szCs w:val="20"/>
                <w:color w:val="auto"/>
              </w:rPr>
            </w:pPr>
            <w:r>
              <w:rPr>
                <w:rFonts w:ascii="Arial" w:cs="Arial" w:eastAsia="Arial" w:hAnsi="Arial"/>
                <w:sz w:val="11"/>
                <w:szCs w:val="11"/>
                <w:b w:val="1"/>
                <w:bCs w:val="1"/>
                <w:color w:val="auto"/>
              </w:rPr>
              <w:t>RMB</w:t>
            </w:r>
          </w:p>
        </w:tc>
        <w:tc>
          <w:tcPr>
            <w:tcW w:w="660" w:type="dxa"/>
            <w:vAlign w:val="bottom"/>
          </w:tcPr>
          <w:p>
            <w:pPr>
              <w:jc w:val="center"/>
              <w:ind w:right="5"/>
              <w:spacing w:after="0"/>
              <w:rPr>
                <w:sz w:val="20"/>
                <w:szCs w:val="20"/>
                <w:color w:val="auto"/>
              </w:rPr>
            </w:pPr>
            <w:r>
              <w:rPr>
                <w:rFonts w:ascii="Arial" w:cs="Arial" w:eastAsia="Arial" w:hAnsi="Arial"/>
                <w:sz w:val="11"/>
                <w:szCs w:val="11"/>
                <w:b w:val="1"/>
                <w:bCs w:val="1"/>
                <w:color w:val="auto"/>
                <w:w w:val="95"/>
              </w:rPr>
              <w:t>RMB</w:t>
            </w:r>
          </w:p>
        </w:tc>
        <w:tc>
          <w:tcPr>
            <w:tcW w:w="8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5"/>
              </w:rPr>
              <w:t>RMB</w:t>
            </w:r>
          </w:p>
        </w:tc>
        <w:tc>
          <w:tcPr>
            <w:tcW w:w="7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RMB</w:t>
            </w:r>
          </w:p>
        </w:tc>
        <w:tc>
          <w:tcPr>
            <w:tcW w:w="6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5"/>
              </w:rPr>
              <w:t>RMB</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rPr>
              <w:t>RMB</w:t>
            </w:r>
          </w:p>
        </w:tc>
        <w:tc>
          <w:tcPr>
            <w:tcW w:w="0" w:type="dxa"/>
            <w:vAlign w:val="bottom"/>
          </w:tcPr>
          <w:p>
            <w:pPr>
              <w:spacing w:after="0"/>
              <w:rPr>
                <w:sz w:val="1"/>
                <w:szCs w:val="1"/>
                <w:color w:val="auto"/>
              </w:rPr>
            </w:pPr>
          </w:p>
        </w:tc>
      </w:tr>
      <w:tr>
        <w:trPr>
          <w:trHeight w:val="126"/>
        </w:trPr>
        <w:tc>
          <w:tcPr>
            <w:tcW w:w="1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as of</w:t>
            </w:r>
          </w:p>
        </w:tc>
        <w:tc>
          <w:tcPr>
            <w:tcW w:w="6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b w:val="1"/>
                <w:bCs w:val="1"/>
                <w:color w:val="auto"/>
              </w:rPr>
              <w:t>December 31, 2022</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8"/>
              </w:rPr>
              <w:t>136,159,402</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123</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1,383,241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(489)</w:t>
            </w:r>
          </w:p>
        </w:tc>
        <w:tc>
          <w:tcPr>
            <w:tcW w:w="6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(7,162,364)</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2,936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(5,776,553)</w:t>
            </w:r>
          </w:p>
        </w:tc>
        <w:tc>
          <w:tcPr>
            <w:tcW w:w="0" w:type="dxa"/>
            <w:vAlign w:val="bottom"/>
          </w:tcPr>
          <w:p>
            <w:pPr>
              <w:spacing w:after="0"/>
              <w:rPr>
                <w:sz w:val="1"/>
                <w:szCs w:val="1"/>
                <w:color w:val="auto"/>
              </w:rPr>
            </w:pPr>
          </w:p>
        </w:tc>
      </w:tr>
      <w:tr>
        <w:trPr>
          <w:trHeight w:val="200"/>
        </w:trPr>
        <w:tc>
          <w:tcPr>
            <w:tcW w:w="1320" w:type="dxa"/>
            <w:vAlign w:val="bottom"/>
          </w:tcPr>
          <w:p>
            <w:pPr>
              <w:spacing w:after="0"/>
              <w:rPr>
                <w:sz w:val="20"/>
                <w:szCs w:val="20"/>
                <w:color w:val="auto"/>
              </w:rPr>
            </w:pPr>
            <w:r>
              <w:rPr>
                <w:rFonts w:ascii="Arial" w:cs="Arial" w:eastAsia="Arial" w:hAnsi="Arial"/>
                <w:sz w:val="11"/>
                <w:szCs w:val="11"/>
                <w:color w:val="auto"/>
              </w:rPr>
              <w:t>Net loss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(178,364)</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(8,216)</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(186,580)</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Currency translation</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differences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(1,191)</w:t>
            </w:r>
          </w:p>
        </w:tc>
        <w:tc>
          <w:tcPr>
            <w:tcW w:w="6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(1,191)</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Contribution from</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rPr>
                <w:sz w:val="20"/>
                <w:szCs w:val="20"/>
                <w:color w:val="auto"/>
              </w:rPr>
            </w:pPr>
            <w:r>
              <w:rPr>
                <w:rFonts w:ascii="Arial" w:cs="Arial" w:eastAsia="Arial" w:hAnsi="Arial"/>
                <w:sz w:val="11"/>
                <w:szCs w:val="11"/>
                <w:color w:val="auto"/>
              </w:rPr>
              <w:t>Predecessor</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64,113</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64,113</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Cancellation of preferred</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113,370</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113,370</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Deemed dividends from</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tcPr>
          <w:p>
            <w:pPr>
              <w:ind w:left="140"/>
              <w:spacing w:after="0" w:line="125" w:lineRule="exact"/>
              <w:rPr>
                <w:sz w:val="20"/>
                <w:szCs w:val="20"/>
                <w:color w:val="auto"/>
              </w:rPr>
            </w:pPr>
            <w:r>
              <w:rPr>
                <w:rFonts w:ascii="Arial" w:cs="Arial" w:eastAsia="Arial" w:hAnsi="Arial"/>
                <w:sz w:val="11"/>
                <w:szCs w:val="11"/>
                <w:color w:val="auto"/>
              </w:rPr>
              <w:t>modifications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rPr>
                <w:sz w:val="20"/>
                <w:szCs w:val="20"/>
                <w:color w:val="auto"/>
              </w:rPr>
            </w:pPr>
            <w:r>
              <w:rPr>
                <w:rFonts w:ascii="Arial" w:cs="Arial" w:eastAsia="Arial" w:hAnsi="Arial"/>
                <w:sz w:val="11"/>
                <w:szCs w:val="11"/>
                <w:color w:val="auto"/>
              </w:rPr>
              <w:t>preferred shares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(8,874)</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(8,874)</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Accretion of preferred</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18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1"/>
                <w:szCs w:val="11"/>
                <w:color w:val="auto"/>
              </w:rPr>
              <w:t>— (1,447,354)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(5,082,276)</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(6,529,630)</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Capital contribution from</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20" w:type="dxa"/>
            <w:vAlign w:val="bottom"/>
          </w:tcPr>
          <w:p>
            <w:pPr>
              <w:ind w:left="140"/>
              <w:spacing w:after="0"/>
              <w:rPr>
                <w:sz w:val="20"/>
                <w:szCs w:val="20"/>
                <w:color w:val="auto"/>
              </w:rPr>
            </w:pPr>
            <w:r>
              <w:rPr>
                <w:rFonts w:ascii="Arial" w:cs="Arial" w:eastAsia="Arial" w:hAnsi="Arial"/>
                <w:sz w:val="11"/>
                <w:szCs w:val="11"/>
                <w:color w:val="auto"/>
              </w:rPr>
              <w:t>noncontrolling interest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400</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227"/>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Disposal of subsidiaries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1,272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1,272</w:t>
            </w:r>
          </w:p>
        </w:tc>
        <w:tc>
          <w:tcPr>
            <w:tcW w:w="0" w:type="dxa"/>
            <w:vAlign w:val="bottom"/>
          </w:tcPr>
          <w:p>
            <w:pPr>
              <w:spacing w:after="0"/>
              <w:rPr>
                <w:sz w:val="1"/>
                <w:szCs w:val="1"/>
                <w:color w:val="auto"/>
              </w:rPr>
            </w:pPr>
          </w:p>
        </w:tc>
      </w:tr>
      <w:tr>
        <w:trPr>
          <w:trHeight w:val="94"/>
        </w:trPr>
        <w:tc>
          <w:tcPr>
            <w:tcW w:w="1320" w:type="dxa"/>
            <w:vAlign w:val="bottom"/>
          </w:tcPr>
          <w:p>
            <w:pPr>
              <w:spacing w:after="0" w:line="94" w:lineRule="exact"/>
              <w:rPr>
                <w:sz w:val="20"/>
                <w:szCs w:val="20"/>
                <w:color w:val="auto"/>
              </w:rPr>
            </w:pPr>
            <w:r>
              <w:rPr>
                <w:rFonts w:ascii="Arial" w:cs="Arial" w:eastAsia="Arial" w:hAnsi="Arial"/>
                <w:sz w:val="10"/>
                <w:szCs w:val="10"/>
                <w:b w:val="1"/>
                <w:bCs w:val="1"/>
                <w:color w:val="auto"/>
              </w:rPr>
              <w:t>Balance as of</w:t>
            </w:r>
          </w:p>
        </w:tc>
        <w:tc>
          <w:tcPr>
            <w:tcW w:w="6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December 31, 2023</w:t>
            </w:r>
          </w:p>
        </w:tc>
        <w:tc>
          <w:tcPr>
            <w:tcW w:w="680" w:type="dxa"/>
            <w:vAlign w:val="bottom"/>
          </w:tcPr>
          <w:p>
            <w:pPr>
              <w:jc w:val="right"/>
              <w:ind w:right="5"/>
              <w:spacing w:after="0"/>
              <w:rPr>
                <w:sz w:val="20"/>
                <w:szCs w:val="20"/>
                <w:color w:val="auto"/>
              </w:rPr>
            </w:pPr>
            <w:r>
              <w:rPr>
                <w:rFonts w:ascii="Arial" w:cs="Arial" w:eastAsia="Arial" w:hAnsi="Arial"/>
                <w:sz w:val="11"/>
                <w:szCs w:val="11"/>
                <w:b w:val="1"/>
                <w:bCs w:val="1"/>
                <w:color w:val="auto"/>
                <w:w w:val="98"/>
              </w:rPr>
              <w:t>136,159,402</w:t>
            </w:r>
          </w:p>
        </w:tc>
        <w:tc>
          <w:tcPr>
            <w:tcW w:w="520" w:type="dxa"/>
            <w:vAlign w:val="bottom"/>
          </w:tcPr>
          <w:p>
            <w:pPr>
              <w:jc w:val="right"/>
              <w:ind w:right="5"/>
              <w:spacing w:after="0"/>
              <w:rPr>
                <w:sz w:val="20"/>
                <w:szCs w:val="20"/>
                <w:color w:val="auto"/>
              </w:rPr>
            </w:pPr>
            <w:r>
              <w:rPr>
                <w:rFonts w:ascii="Arial" w:cs="Arial" w:eastAsia="Arial" w:hAnsi="Arial"/>
                <w:sz w:val="11"/>
                <w:szCs w:val="11"/>
                <w:b w:val="1"/>
                <w:bCs w:val="1"/>
                <w:color w:val="auto"/>
              </w:rPr>
              <w:t>123</w:t>
            </w:r>
          </w:p>
        </w:tc>
        <w:tc>
          <w:tcPr>
            <w:tcW w:w="660" w:type="dxa"/>
            <w:vAlign w:val="bottom"/>
          </w:tcPr>
          <w:p>
            <w:pPr>
              <w:jc w:val="right"/>
              <w:ind w:right="85"/>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(1,680)</w:t>
            </w:r>
          </w:p>
        </w:tc>
        <w:tc>
          <w:tcPr>
            <w:tcW w:w="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(12,318,508)</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(3,608)</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(12,323,673)</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(154,806)</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(2,316</w:t>
            </w:r>
            <w:r>
              <w:rPr>
                <w:rFonts w:ascii="Arial" w:cs="Arial" w:eastAsia="Arial" w:hAnsi="Arial"/>
                <w:sz w:val="11"/>
                <w:szCs w:val="11"/>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(157,122</w:t>
            </w: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Currency translation</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rPr>
                <w:sz w:val="20"/>
                <w:szCs w:val="20"/>
                <w:color w:val="auto"/>
              </w:rPr>
            </w:pPr>
            <w:r>
              <w:rPr>
                <w:rFonts w:ascii="Arial" w:cs="Arial" w:eastAsia="Arial" w:hAnsi="Arial"/>
                <w:sz w:val="11"/>
                <w:szCs w:val="11"/>
                <w:color w:val="auto"/>
              </w:rPr>
              <w:t>differences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1,165</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Contribution from</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Predecessor</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5,783</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5,783</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Accretion of preferred</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rPr>
                <w:sz w:val="20"/>
                <w:szCs w:val="20"/>
                <w:color w:val="auto"/>
              </w:rPr>
            </w:pPr>
            <w:r>
              <w:rPr>
                <w:rFonts w:ascii="Arial" w:cs="Arial" w:eastAsia="Arial" w:hAnsi="Arial"/>
                <w:sz w:val="11"/>
                <w:szCs w:val="11"/>
                <w:color w:val="auto"/>
              </w:rPr>
              <w:t>shares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(5,783)</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(1,501,869)</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(1,507,652)</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Acquisition of</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320" w:type="dxa"/>
            <w:vAlign w:val="bottom"/>
            <w:shd w:val="clear" w:color="auto" w:fill="CCEEFF"/>
          </w:tcPr>
          <w:p>
            <w:pPr>
              <w:ind w:left="140"/>
              <w:spacing w:after="0" w:line="125" w:lineRule="exact"/>
              <w:rPr>
                <w:sz w:val="20"/>
                <w:szCs w:val="20"/>
                <w:color w:val="auto"/>
              </w:rPr>
            </w:pPr>
            <w:r>
              <w:rPr>
                <w:rFonts w:ascii="Arial" w:cs="Arial" w:eastAsia="Arial" w:hAnsi="Arial"/>
                <w:sz w:val="11"/>
                <w:szCs w:val="11"/>
                <w:color w:val="auto"/>
              </w:rPr>
              <w:t>noncontrolling</w:t>
            </w:r>
          </w:p>
        </w:tc>
        <w:tc>
          <w:tcPr>
            <w:tcW w:w="6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20" w:type="dxa"/>
            <w:vAlign w:val="bottom"/>
            <w:shd w:val="clear" w:color="auto" w:fill="CCEEFF"/>
          </w:tcPr>
          <w:p>
            <w:pPr>
              <w:ind w:left="140"/>
              <w:spacing w:after="0" w:line="125" w:lineRule="exact"/>
              <w:rPr>
                <w:sz w:val="20"/>
                <w:szCs w:val="20"/>
                <w:color w:val="auto"/>
              </w:rPr>
            </w:pPr>
            <w:r>
              <w:rPr>
                <w:rFonts w:ascii="Arial" w:cs="Arial" w:eastAsia="Arial" w:hAnsi="Arial"/>
                <w:sz w:val="11"/>
                <w:szCs w:val="11"/>
                <w:color w:val="auto"/>
              </w:rPr>
              <w:t>interests in a</w:t>
            </w:r>
          </w:p>
        </w:tc>
        <w:tc>
          <w:tcPr>
            <w:tcW w:w="6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subsidiary</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(6,853)</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6,853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4"/>
        </w:trPr>
        <w:tc>
          <w:tcPr>
            <w:tcW w:w="1320" w:type="dxa"/>
            <w:vAlign w:val="bottom"/>
          </w:tcPr>
          <w:p>
            <w:pPr>
              <w:spacing w:after="0" w:line="94" w:lineRule="exact"/>
              <w:rPr>
                <w:sz w:val="20"/>
                <w:szCs w:val="20"/>
                <w:color w:val="auto"/>
              </w:rPr>
            </w:pPr>
            <w:r>
              <w:rPr>
                <w:rFonts w:ascii="Arial" w:cs="Arial" w:eastAsia="Arial" w:hAnsi="Arial"/>
                <w:sz w:val="10"/>
                <w:szCs w:val="10"/>
                <w:b w:val="1"/>
                <w:bCs w:val="1"/>
                <w:color w:val="auto"/>
              </w:rPr>
              <w:t>Balance as of</w:t>
            </w:r>
          </w:p>
        </w:tc>
        <w:tc>
          <w:tcPr>
            <w:tcW w:w="6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December 31, 2024</w:t>
            </w:r>
          </w:p>
        </w:tc>
        <w:tc>
          <w:tcPr>
            <w:tcW w:w="680" w:type="dxa"/>
            <w:vAlign w:val="bottom"/>
          </w:tcPr>
          <w:p>
            <w:pPr>
              <w:jc w:val="right"/>
              <w:ind w:right="5"/>
              <w:spacing w:after="0"/>
              <w:rPr>
                <w:sz w:val="20"/>
                <w:szCs w:val="20"/>
                <w:color w:val="auto"/>
              </w:rPr>
            </w:pPr>
            <w:r>
              <w:rPr>
                <w:rFonts w:ascii="Arial" w:cs="Arial" w:eastAsia="Arial" w:hAnsi="Arial"/>
                <w:sz w:val="11"/>
                <w:szCs w:val="11"/>
                <w:b w:val="1"/>
                <w:bCs w:val="1"/>
                <w:color w:val="auto"/>
                <w:w w:val="98"/>
              </w:rPr>
              <w:t>136,159,402</w:t>
            </w:r>
          </w:p>
        </w:tc>
        <w:tc>
          <w:tcPr>
            <w:tcW w:w="520" w:type="dxa"/>
            <w:vAlign w:val="bottom"/>
          </w:tcPr>
          <w:p>
            <w:pPr>
              <w:jc w:val="right"/>
              <w:ind w:right="5"/>
              <w:spacing w:after="0"/>
              <w:rPr>
                <w:sz w:val="20"/>
                <w:szCs w:val="20"/>
                <w:color w:val="auto"/>
              </w:rPr>
            </w:pPr>
            <w:r>
              <w:rPr>
                <w:rFonts w:ascii="Arial" w:cs="Arial" w:eastAsia="Arial" w:hAnsi="Arial"/>
                <w:sz w:val="11"/>
                <w:szCs w:val="11"/>
                <w:b w:val="1"/>
                <w:bCs w:val="1"/>
                <w:color w:val="auto"/>
              </w:rPr>
              <w:t>123</w:t>
            </w:r>
          </w:p>
        </w:tc>
        <w:tc>
          <w:tcPr>
            <w:tcW w:w="660" w:type="dxa"/>
            <w:vAlign w:val="bottom"/>
          </w:tcPr>
          <w:p>
            <w:pPr>
              <w:jc w:val="right"/>
              <w:ind w:right="85"/>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(515)</w:t>
            </w:r>
          </w:p>
        </w:tc>
        <w:tc>
          <w:tcPr>
            <w:tcW w:w="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(13,982,036)</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929</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(13,981,499)</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(95,050)</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(94,559)</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Currency translation</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20" w:type="dxa"/>
            <w:vAlign w:val="bottom"/>
          </w:tcPr>
          <w:p>
            <w:pPr>
              <w:ind w:left="140"/>
              <w:spacing w:after="0"/>
              <w:rPr>
                <w:sz w:val="20"/>
                <w:szCs w:val="20"/>
                <w:color w:val="auto"/>
              </w:rPr>
            </w:pPr>
            <w:r>
              <w:rPr>
                <w:rFonts w:ascii="Arial" w:cs="Arial" w:eastAsia="Arial" w:hAnsi="Arial"/>
                <w:sz w:val="11"/>
                <w:szCs w:val="11"/>
                <w:color w:val="auto"/>
              </w:rPr>
              <w:t>differences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(1,694)</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(1,694)</w:t>
            </w:r>
          </w:p>
        </w:tc>
        <w:tc>
          <w:tcPr>
            <w:tcW w:w="0" w:type="dxa"/>
            <w:vAlign w:val="bottom"/>
          </w:tcPr>
          <w:p>
            <w:pPr>
              <w:spacing w:after="0"/>
              <w:rPr>
                <w:sz w:val="1"/>
                <w:szCs w:val="1"/>
                <w:color w:val="auto"/>
              </w:rPr>
            </w:pPr>
          </w:p>
        </w:tc>
      </w:tr>
      <w:tr>
        <w:trPr>
          <w:trHeight w:val="227"/>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Acquisition of business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3,812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3,812</w:t>
            </w:r>
          </w:p>
        </w:tc>
        <w:tc>
          <w:tcPr>
            <w:tcW w:w="0" w:type="dxa"/>
            <w:vAlign w:val="bottom"/>
          </w:tcPr>
          <w:p>
            <w:pPr>
              <w:spacing w:after="0"/>
              <w:rPr>
                <w:sz w:val="1"/>
                <w:szCs w:val="1"/>
                <w:color w:val="auto"/>
              </w:rPr>
            </w:pPr>
          </w:p>
        </w:tc>
      </w:tr>
      <w:tr>
        <w:trPr>
          <w:trHeight w:val="114"/>
        </w:trPr>
        <w:tc>
          <w:tcPr>
            <w:tcW w:w="1320" w:type="dxa"/>
            <w:vAlign w:val="bottom"/>
          </w:tcPr>
          <w:p>
            <w:pPr>
              <w:spacing w:after="0" w:line="114" w:lineRule="exact"/>
              <w:rPr>
                <w:sz w:val="20"/>
                <w:szCs w:val="20"/>
                <w:color w:val="auto"/>
              </w:rPr>
            </w:pPr>
            <w:r>
              <w:rPr>
                <w:rFonts w:ascii="Arial" w:cs="Arial" w:eastAsia="Arial" w:hAnsi="Arial"/>
                <w:sz w:val="11"/>
                <w:szCs w:val="11"/>
                <w:color w:val="auto"/>
              </w:rPr>
              <w:t>Accretion of the</w:t>
            </w: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20" w:type="dxa"/>
            <w:vAlign w:val="bottom"/>
          </w:tcPr>
          <w:p>
            <w:pPr>
              <w:ind w:left="140"/>
              <w:spacing w:after="0" w:line="125" w:lineRule="exact"/>
              <w:rPr>
                <w:sz w:val="20"/>
                <w:szCs w:val="20"/>
                <w:color w:val="auto"/>
              </w:rPr>
            </w:pPr>
            <w:r>
              <w:rPr>
                <w:rFonts w:ascii="Arial" w:cs="Arial" w:eastAsia="Arial" w:hAnsi="Arial"/>
                <w:sz w:val="11"/>
                <w:szCs w:val="11"/>
                <w:color w:val="auto"/>
              </w:rPr>
              <w:t>Company’s preferred</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20" w:type="dxa"/>
            <w:vAlign w:val="bottom"/>
          </w:tcPr>
          <w:p>
            <w:pPr>
              <w:ind w:left="140"/>
              <w:spacing w:after="0"/>
              <w:rPr>
                <w:sz w:val="20"/>
                <w:szCs w:val="20"/>
                <w:color w:val="auto"/>
              </w:rPr>
            </w:pPr>
            <w:r>
              <w:rPr>
                <w:rFonts w:ascii="Arial" w:cs="Arial" w:eastAsia="Arial" w:hAnsi="Arial"/>
                <w:sz w:val="11"/>
                <w:szCs w:val="11"/>
                <w:color w:val="auto"/>
              </w:rPr>
              <w:t>shares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5"/>
              <w:spacing w:after="0"/>
              <w:rPr>
                <w:sz w:val="20"/>
                <w:szCs w:val="20"/>
                <w:color w:val="auto"/>
              </w:rPr>
            </w:pPr>
            <w:r>
              <w:rPr>
                <w:rFonts w:ascii="Arial" w:cs="Arial" w:eastAsia="Arial" w:hAnsi="Arial"/>
                <w:sz w:val="11"/>
                <w:szCs w:val="11"/>
                <w:color w:val="auto"/>
              </w:rPr>
              <w:t>(3,812)</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(1,751,828)</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(1,755,640)</w:t>
            </w:r>
          </w:p>
        </w:tc>
        <w:tc>
          <w:tcPr>
            <w:tcW w:w="0" w:type="dxa"/>
            <w:vAlign w:val="bottom"/>
          </w:tcPr>
          <w:p>
            <w:pPr>
              <w:spacing w:after="0"/>
              <w:rPr>
                <w:sz w:val="1"/>
                <w:szCs w:val="1"/>
                <w:color w:val="auto"/>
              </w:rPr>
            </w:pPr>
          </w:p>
        </w:tc>
      </w:tr>
      <w:tr>
        <w:trPr>
          <w:trHeight w:val="132"/>
        </w:trPr>
        <w:tc>
          <w:tcPr>
            <w:tcW w:w="1320" w:type="dxa"/>
            <w:vAlign w:val="bottom"/>
            <w:shd w:val="clear" w:color="auto" w:fill="CCEEFF"/>
          </w:tcPr>
          <w:p>
            <w:pPr>
              <w:spacing w:after="0"/>
              <w:rPr>
                <w:sz w:val="20"/>
                <w:szCs w:val="20"/>
                <w:color w:val="auto"/>
              </w:rPr>
            </w:pPr>
            <w:r>
              <w:rPr>
                <w:rFonts w:ascii="Arial" w:cs="Arial" w:eastAsia="Arial" w:hAnsi="Arial"/>
                <w:sz w:val="11"/>
                <w:szCs w:val="11"/>
                <w:color w:val="auto"/>
              </w:rPr>
              <w:t>Repayment of</w:t>
            </w:r>
          </w:p>
        </w:tc>
        <w:tc>
          <w:tcPr>
            <w:tcW w:w="68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320" w:type="dxa"/>
            <w:vAlign w:val="bottom"/>
            <w:shd w:val="clear" w:color="auto" w:fill="CCEEFF"/>
          </w:tcPr>
          <w:p>
            <w:pPr>
              <w:ind w:left="140"/>
              <w:spacing w:after="0" w:line="125" w:lineRule="exact"/>
              <w:rPr>
                <w:sz w:val="20"/>
                <w:szCs w:val="20"/>
                <w:color w:val="auto"/>
              </w:rPr>
            </w:pPr>
            <w:r>
              <w:rPr>
                <w:rFonts w:ascii="Arial" w:cs="Arial" w:eastAsia="Arial" w:hAnsi="Arial"/>
                <w:sz w:val="11"/>
                <w:szCs w:val="11"/>
                <w:color w:val="auto"/>
              </w:rPr>
              <w:t>contribution from</w:t>
            </w:r>
          </w:p>
        </w:tc>
        <w:tc>
          <w:tcPr>
            <w:tcW w:w="6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20" w:type="dxa"/>
            <w:vAlign w:val="bottom"/>
            <w:shd w:val="clear" w:color="auto" w:fill="CCEEFF"/>
          </w:tcPr>
          <w:p>
            <w:pPr>
              <w:ind w:left="140"/>
              <w:spacing w:after="0" w:line="125" w:lineRule="exact"/>
              <w:rPr>
                <w:sz w:val="20"/>
                <w:szCs w:val="20"/>
                <w:color w:val="auto"/>
              </w:rPr>
            </w:pPr>
            <w:r>
              <w:rPr>
                <w:rFonts w:ascii="Arial" w:cs="Arial" w:eastAsia="Arial" w:hAnsi="Arial"/>
                <w:sz w:val="11"/>
                <w:szCs w:val="11"/>
                <w:color w:val="auto"/>
              </w:rPr>
              <w:t>noncontrolling</w:t>
            </w:r>
          </w:p>
        </w:tc>
        <w:tc>
          <w:tcPr>
            <w:tcW w:w="68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interests</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1"/>
                <w:szCs w:val="11"/>
                <w:color w:val="auto"/>
              </w:rPr>
              <w:t>Disposal of subsidiaries</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(1,266)</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r>
        <w:trPr>
          <w:trHeight w:val="102"/>
        </w:trPr>
        <w:tc>
          <w:tcPr>
            <w:tcW w:w="132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Balance as of</w:t>
            </w: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520" w:type="dxa"/>
            <w:vAlign w:val="bottom"/>
            <w:tcBorders>
              <w:top w:val="single" w:sz="8" w:color="auto"/>
              <w:right w:val="single" w:sz="8" w:color="CCEEFF"/>
            </w:tcBorders>
            <w:shd w:val="clear" w:color="auto" w:fill="CCEEFF"/>
          </w:tcPr>
          <w:p>
            <w:pPr>
              <w:spacing w:after="0"/>
              <w:rPr>
                <w:sz w:val="8"/>
                <w:szCs w:val="8"/>
                <w:color w:val="auto"/>
              </w:rPr>
            </w:pPr>
          </w:p>
        </w:tc>
        <w:tc>
          <w:tcPr>
            <w:tcW w:w="660" w:type="dxa"/>
            <w:vAlign w:val="bottom"/>
            <w:tcBorders>
              <w:top w:val="single" w:sz="8" w:color="auto"/>
              <w:right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right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320" w:type="dxa"/>
            <w:vAlign w:val="bottom"/>
            <w:shd w:val="clear" w:color="auto" w:fill="CCEEFF"/>
          </w:tcPr>
          <w:p>
            <w:pPr>
              <w:ind w:left="140"/>
              <w:spacing w:after="0"/>
              <w:rPr>
                <w:sz w:val="20"/>
                <w:szCs w:val="20"/>
                <w:color w:val="auto"/>
              </w:rPr>
            </w:pPr>
            <w:r>
              <w:rPr>
                <w:rFonts w:ascii="Arial" w:cs="Arial" w:eastAsia="Arial" w:hAnsi="Arial"/>
                <w:sz w:val="11"/>
                <w:szCs w:val="11"/>
                <w:b w:val="1"/>
                <w:bCs w:val="1"/>
                <w:color w:val="auto"/>
              </w:rPr>
              <w:t>December 31, 2025</w:t>
            </w:r>
          </w:p>
        </w:tc>
        <w:tc>
          <w:tcPr>
            <w:tcW w:w="68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8"/>
              </w:rPr>
              <w:t>136,159,402</w:t>
            </w:r>
          </w:p>
        </w:tc>
        <w:tc>
          <w:tcPr>
            <w:tcW w:w="520" w:type="dxa"/>
            <w:vAlign w:val="bottom"/>
            <w:tcBorders>
              <w:right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123</w:t>
            </w:r>
          </w:p>
        </w:tc>
        <w:tc>
          <w:tcPr>
            <w:tcW w:w="660" w:type="dxa"/>
            <w:vAlign w:val="bottom"/>
            <w:tcBorders>
              <w:right w:val="single" w:sz="8" w:color="CCEEFF"/>
            </w:tcBorders>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(2,209)</w:t>
            </w:r>
          </w:p>
        </w:tc>
        <w:tc>
          <w:tcPr>
            <w:tcW w:w="60" w:type="dxa"/>
            <w:vAlign w:val="bottom"/>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(15,828,914)</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89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(15,830,911)</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bottom w:val="single" w:sz="8" w:color="CCEEFF"/>
            </w:tcBorders>
            <w:vMerge w:val="restart"/>
          </w:tcPr>
          <w:p>
            <w:pPr>
              <w:spacing w:after="0" w:line="105" w:lineRule="exact"/>
              <w:rPr>
                <w:sz w:val="20"/>
                <w:szCs w:val="20"/>
                <w:color w:val="auto"/>
              </w:rPr>
            </w:pPr>
            <w:r>
              <w:rPr>
                <w:rFonts w:ascii="Arial" w:cs="Arial" w:eastAsia="Arial" w:hAnsi="Arial"/>
                <w:sz w:val="11"/>
                <w:szCs w:val="11"/>
                <w:b w:val="1"/>
                <w:bCs w:val="1"/>
                <w:color w:val="auto"/>
              </w:rPr>
              <w:t>Balance as of</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3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3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December 31,</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2025, in US$</w:t>
            </w:r>
          </w:p>
        </w:tc>
        <w:tc>
          <w:tcPr>
            <w:tcW w:w="680" w:type="dxa"/>
            <w:vAlign w:val="bottom"/>
          </w:tcPr>
          <w:p>
            <w:pPr>
              <w:spacing w:after="0"/>
              <w:rPr>
                <w:sz w:val="13"/>
                <w:szCs w:val="13"/>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b w:val="1"/>
                <w:bCs w:val="1"/>
                <w:color w:val="auto"/>
              </w:rPr>
              <w:t>18</w:t>
            </w:r>
          </w:p>
        </w:tc>
        <w:tc>
          <w:tcPr>
            <w:tcW w:w="660" w:type="dxa"/>
            <w:vAlign w:val="bottom"/>
          </w:tcPr>
          <w:p>
            <w:pPr>
              <w:jc w:val="right"/>
              <w:ind w:right="85"/>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(316)</w:t>
            </w: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(2,263,505)</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13</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(2,263,790)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The accompanying notes are an integral part of these combined and</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consolidated financial statements.</w:t>
      </w:r>
    </w:p>
    <w:p>
      <w:pPr>
        <w:spacing w:after="0" w:line="12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6" w:name="page307"/>
    <w:bookmarkEnd w:id="30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COMBINED AND CONSOLIDATED STATEMENTS OF CASH FLOWS</w:t>
      </w:r>
    </w:p>
    <w:p>
      <w:pPr>
        <w:ind w:left="2280"/>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1"/>
                <w:szCs w:val="11"/>
                <w:b w:val="1"/>
                <w:bCs w:val="1"/>
                <w:color w:val="auto"/>
              </w:rPr>
              <w:t>For the years ended December 31,</w:t>
            </w:r>
          </w:p>
        </w:tc>
      </w:tr>
      <w:tr>
        <w:trPr>
          <w:trHeight w:val="208"/>
        </w:trPr>
        <w:tc>
          <w:tcPr>
            <w:tcW w:w="328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8"/>
                <w:szCs w:val="18"/>
                <w:color w:val="auto"/>
              </w:rPr>
            </w:pPr>
          </w:p>
        </w:tc>
        <w:tc>
          <w:tcPr>
            <w:tcW w:w="640" w:type="dxa"/>
            <w:vAlign w:val="bottom"/>
            <w:gridSpan w:val="2"/>
          </w:tcPr>
          <w:p>
            <w:pPr>
              <w:jc w:val="right"/>
              <w:ind w:right="3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8"/>
                <w:szCs w:val="18"/>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720" w:type="dxa"/>
            <w:vAlign w:val="bottom"/>
            <w:gridSpan w:val="2"/>
          </w:tcPr>
          <w:p>
            <w:pPr>
              <w:jc w:val="right"/>
              <w:ind w:right="7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r>
      <w:tr>
        <w:trPr>
          <w:trHeight w:val="198"/>
        </w:trPr>
        <w:tc>
          <w:tcPr>
            <w:tcW w:w="3280" w:type="dxa"/>
            <w:vAlign w:val="bottom"/>
          </w:tcPr>
          <w:p>
            <w:pPr>
              <w:spacing w:after="0"/>
              <w:rPr>
                <w:sz w:val="17"/>
                <w:szCs w:val="17"/>
                <w:color w:val="auto"/>
              </w:rPr>
            </w:pPr>
          </w:p>
        </w:tc>
        <w:tc>
          <w:tcPr>
            <w:tcW w:w="660" w:type="dxa"/>
            <w:vAlign w:val="bottom"/>
            <w:tcBorders>
              <w:top w:val="single" w:sz="8" w:color="auto"/>
            </w:tcBorders>
            <w:gridSpan w:val="2"/>
          </w:tcPr>
          <w:p>
            <w:pPr>
              <w:jc w:val="right"/>
              <w:ind w:right="14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6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6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r>
      <w:tr>
        <w:trPr>
          <w:trHeight w:val="224"/>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color w:val="auto"/>
                <w:w w:val="96"/>
              </w:rPr>
              <w:t>(186,580)</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(157,122)</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(94,559)</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(13,522)</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34,468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26,476</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26,107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3,733</w:t>
            </w:r>
          </w:p>
        </w:tc>
      </w:tr>
      <w:tr>
        <w:trPr>
          <w:trHeight w:val="137"/>
        </w:trPr>
        <w:tc>
          <w:tcPr>
            <w:tcW w:w="3280" w:type="dxa"/>
            <w:vAlign w:val="bottom"/>
          </w:tcPr>
          <w:p>
            <w:pPr>
              <w:ind w:left="140"/>
              <w:spacing w:after="0" w:line="137" w:lineRule="exact"/>
              <w:rPr>
                <w:sz w:val="20"/>
                <w:szCs w:val="20"/>
                <w:color w:val="auto"/>
              </w:rPr>
            </w:pPr>
            <w:r>
              <w:rPr>
                <w:rFonts w:ascii="Arial" w:cs="Arial" w:eastAsia="Arial" w:hAnsi="Arial"/>
                <w:sz w:val="14"/>
                <w:szCs w:val="14"/>
                <w:color w:val="auto"/>
              </w:rPr>
              <w:t>Provision for (reversal of) allowance for credit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6"/>
        </w:trPr>
        <w:tc>
          <w:tcPr>
            <w:tcW w:w="3280" w:type="dxa"/>
            <w:vAlign w:val="bottom"/>
          </w:tcPr>
          <w:p>
            <w:pPr>
              <w:ind w:left="280"/>
              <w:spacing w:after="0"/>
              <w:rPr>
                <w:sz w:val="20"/>
                <w:szCs w:val="20"/>
                <w:color w:val="auto"/>
              </w:rPr>
            </w:pPr>
            <w:r>
              <w:rPr>
                <w:rFonts w:ascii="Arial" w:cs="Arial" w:eastAsia="Arial" w:hAnsi="Arial"/>
                <w:sz w:val="14"/>
                <w:szCs w:val="14"/>
                <w:color w:val="auto"/>
              </w:rPr>
              <w:t>losses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7,075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4,309</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(1,197)</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(171)</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benefit</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(2,787)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Share of profit from equity method investments</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color w:val="auto"/>
              </w:rPr>
              <w:t>(3,488)</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(2,116)</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(1,111)</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(159)</w:t>
            </w:r>
          </w:p>
        </w:tc>
      </w:tr>
      <w:tr>
        <w:trPr>
          <w:trHeight w:val="146"/>
        </w:trPr>
        <w:tc>
          <w:tcPr>
            <w:tcW w:w="32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rPr>
              <w:t>Net gain from disposal of subsidiaries and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05"/>
        </w:trPr>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investments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(2,944)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(29,006)</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Dividend from equity method investment</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4,095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2,410</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1,599</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229</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Others, net</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(354)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1,114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159</w:t>
            </w:r>
          </w:p>
        </w:tc>
      </w:t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(43,889)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55,434</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15,859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2,268</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Amounts due from related parties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32,423</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(27,752)</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21,088</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3,016</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 assets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(24,961)</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(45,603)</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18,782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2,686</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13,643</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(51,516)</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(15,095)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(2,159)</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(6,011)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(2,669)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(383)</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7,472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26,984</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6,636</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949</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due to related parties</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1,327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(9,735)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(53,413)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(7,638)</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Contract liabilities and customer advance</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color w:val="auto"/>
              </w:rPr>
              <w:t>(3,477)</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(6,951)</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(1,644)</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(235)</w:t>
            </w:r>
          </w:p>
        </w:tc>
      </w:tr>
      <w:tr>
        <w:trPr>
          <w:trHeight w:val="227"/>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3,452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(1,411)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(202)</w:t>
            </w:r>
          </w:p>
        </w:tc>
      </w:tr>
      <w:tr>
        <w:trPr>
          <w:trHeight w:val="209"/>
        </w:trPr>
        <w:tc>
          <w:tcPr>
            <w:tcW w:w="3280" w:type="dxa"/>
            <w:vAlign w:val="bottom"/>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6,554</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(3,707)</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(11,191)</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(1,602)</w:t>
            </w:r>
          </w:p>
        </w:tc>
      </w:tr>
      <w:tr>
        <w:trPr>
          <w:trHeight w:val="223"/>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105</w:t>
            </w:r>
          </w:p>
        </w:tc>
      </w:tr>
      <w:tr>
        <w:trPr>
          <w:trHeight w:val="20"/>
        </w:trPr>
        <w:tc>
          <w:tcPr>
            <w:tcW w:w="3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used in operating activities</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w w:val="96"/>
              </w:rPr>
              <w:t>(163,412)</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(212,517)</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(90,370)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(12,926)</w:t>
            </w:r>
          </w:p>
        </w:tc>
      </w:tr>
      <w:tr>
        <w:trPr>
          <w:trHeight w:val="209"/>
        </w:trPr>
        <w:tc>
          <w:tcPr>
            <w:tcW w:w="3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Purchase of fixed assets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(3,293)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(2,471)</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(2,881)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(410)</w:t>
            </w:r>
          </w:p>
        </w:tc>
      </w:tr>
      <w:tr>
        <w:trPr>
          <w:trHeight w:val="212"/>
        </w:trPr>
        <w:tc>
          <w:tcPr>
            <w:tcW w:w="3280" w:type="dxa"/>
            <w:vAlign w:val="bottom"/>
          </w:tcPr>
          <w:p>
            <w:pPr>
              <w:spacing w:after="0"/>
              <w:rPr>
                <w:sz w:val="20"/>
                <w:szCs w:val="20"/>
                <w:color w:val="auto"/>
              </w:rPr>
            </w:pPr>
            <w:r>
              <w:rPr>
                <w:rFonts w:ascii="Arial" w:cs="Arial" w:eastAsia="Arial" w:hAnsi="Arial"/>
                <w:sz w:val="14"/>
                <w:szCs w:val="14"/>
                <w:color w:val="auto"/>
              </w:rPr>
              <w:t>Capitalized software development costs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(2,560)</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(366)</w:t>
            </w:r>
          </w:p>
        </w:tc>
      </w:tr>
      <w:tr>
        <w:trPr>
          <w:trHeight w:val="224"/>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Purchase of short-term investments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w w:val="96"/>
              </w:rPr>
              <w:t>(230,000)</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(31,730)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(4,537)</w:t>
            </w:r>
          </w:p>
        </w:tc>
      </w:t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Proceeds from maturity of short-term investments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100,000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130,261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7"/>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Disposal of subsidiaries, net of cash sold</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3,459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(56,538)</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78,500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11,225</w:t>
            </w:r>
          </w:p>
        </w:tc>
      </w:t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Proceeds from disposal of long-term investment</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7"/>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subsidiary, net of cash acquired</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(328)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(47)</w:t>
            </w:r>
          </w:p>
        </w:tc>
      </w:tr>
      <w:tr>
        <w:trPr>
          <w:trHeight w:val="209"/>
        </w:trPr>
        <w:tc>
          <w:tcPr>
            <w:tcW w:w="3280" w:type="dxa"/>
            <w:vAlign w:val="bottom"/>
          </w:tcPr>
          <w:p>
            <w:pPr>
              <w:spacing w:after="0"/>
              <w:rPr>
                <w:sz w:val="20"/>
                <w:szCs w:val="20"/>
                <w:color w:val="auto"/>
              </w:rPr>
            </w:pPr>
            <w:r>
              <w:rPr>
                <w:rFonts w:ascii="Arial" w:cs="Arial" w:eastAsia="Arial" w:hAnsi="Arial"/>
                <w:sz w:val="14"/>
                <w:szCs w:val="14"/>
                <w:color w:val="auto"/>
              </w:rPr>
              <w:t>Acquisition of long-term investments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(1,225)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(175)</w:t>
            </w:r>
          </w:p>
        </w:tc>
      </w:tr>
      <w:tr>
        <w:trPr>
          <w:trHeight w:val="227"/>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Loans provided to related parties</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(74,000)</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4"/>
        </w:trPr>
        <w:tc>
          <w:tcPr>
            <w:tcW w:w="3280" w:type="dxa"/>
            <w:vAlign w:val="bottom"/>
          </w:tcPr>
          <w:p>
            <w:pPr>
              <w:spacing w:after="0"/>
              <w:rPr>
                <w:sz w:val="20"/>
                <w:szCs w:val="20"/>
                <w:color w:val="auto"/>
              </w:rPr>
            </w:pPr>
            <w:r>
              <w:rPr>
                <w:rFonts w:ascii="Arial" w:cs="Arial" w:eastAsia="Arial" w:hAnsi="Arial"/>
                <w:sz w:val="14"/>
                <w:szCs w:val="14"/>
                <w:color w:val="auto"/>
              </w:rPr>
              <w:t>Repayment of loans provided to related parties</w:t>
            </w:r>
          </w:p>
        </w:tc>
        <w:tc>
          <w:tcPr>
            <w:tcW w:w="660" w:type="dxa"/>
            <w:vAlign w:val="bottom"/>
            <w:gridSpan w:val="2"/>
          </w:tcPr>
          <w:p>
            <w:pPr>
              <w:jc w:val="right"/>
              <w:ind w:right="45"/>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74,000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31"/>
        </w:trPr>
        <w:tc>
          <w:tcPr>
            <w:tcW w:w="328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Net cash (used in) provided by investing</w:t>
            </w: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94"/>
        </w:trPr>
        <w:tc>
          <w:tcPr>
            <w:tcW w:w="32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activities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b w:val="1"/>
                <w:bCs w:val="1"/>
                <w:color w:val="auto"/>
                <w:w w:val="96"/>
              </w:rPr>
              <w:t>(129,834)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74,481</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39,776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5,690</w:t>
            </w:r>
          </w:p>
        </w:tc>
      </w:tr>
      <w:tr>
        <w:trPr>
          <w:trHeight w:val="292"/>
        </w:trPr>
        <w:tc>
          <w:tcPr>
            <w:tcW w:w="3280" w:type="dxa"/>
            <w:vAlign w:val="bottom"/>
            <w:tcBorders>
              <w:top w:val="single" w:sz="8" w:color="CCEEFF"/>
              <w:bottom w:val="single" w:sz="8" w:color="auto"/>
            </w:tcBorders>
          </w:tcPr>
          <w:p>
            <w:pPr>
              <w:ind w:left="3000"/>
              <w:spacing w:after="0"/>
              <w:rPr>
                <w:sz w:val="20"/>
                <w:szCs w:val="20"/>
                <w:color w:val="auto"/>
              </w:rPr>
            </w:pPr>
            <w:r>
              <w:rPr>
                <w:rFonts w:ascii="Arial" w:cs="Arial" w:eastAsia="Arial" w:hAnsi="Arial"/>
                <w:sz w:val="14"/>
                <w:szCs w:val="14"/>
                <w:color w:val="auto"/>
              </w:rPr>
              <w:t>F-9</w:t>
            </w: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307" w:name="page308"/>
    <w:bookmarkEnd w:id="30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COMBINED AND CONSOLIDATED STATEMENTS OF CASH FLOWS — (Continued)</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1"/>
                <w:szCs w:val="11"/>
                <w:b w:val="1"/>
                <w:bCs w:val="1"/>
                <w:color w:val="auto"/>
              </w:rPr>
              <w:t>For the years ended 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8"/>
                <w:szCs w:val="18"/>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8"/>
                <w:szCs w:val="18"/>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60" w:type="dxa"/>
            <w:vAlign w:val="bottom"/>
            <w:tcBorders>
              <w:top w:val="single" w:sz="8" w:color="auto"/>
            </w:tcBorders>
            <w:gridSpan w:val="2"/>
          </w:tcPr>
          <w:p>
            <w:pPr>
              <w:jc w:val="right"/>
              <w:ind w:right="14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6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6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4"/>
                <w:szCs w:val="14"/>
                <w:color w:val="auto"/>
              </w:rPr>
              <w:t>Proceeds from loans provided by Predecessor</w:t>
            </w:r>
          </w:p>
        </w:tc>
        <w:tc>
          <w:tcPr>
            <w:tcW w:w="560" w:type="dxa"/>
            <w:vAlign w:val="bottom"/>
          </w:tcPr>
          <w:p>
            <w:pPr>
              <w:jc w:val="right"/>
              <w:spacing w:after="0"/>
              <w:rPr>
                <w:sz w:val="20"/>
                <w:szCs w:val="20"/>
                <w:color w:val="auto"/>
              </w:rPr>
            </w:pPr>
            <w:r>
              <w:rPr>
                <w:rFonts w:ascii="Arial" w:cs="Arial" w:eastAsia="Arial" w:hAnsi="Arial"/>
                <w:sz w:val="14"/>
                <w:szCs w:val="14"/>
                <w:color w:val="auto"/>
              </w:rPr>
              <w:t>137,717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4,924</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Repayments of loans provided by Predecessor</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(1,462)</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color w:val="auto"/>
              </w:rPr>
              <w:t>Proceeds from short-term loans provided by third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Arial" w:cs="Arial" w:eastAsia="Arial" w:hAnsi="Arial"/>
                <w:sz w:val="14"/>
                <w:szCs w:val="14"/>
                <w:color w:val="auto"/>
              </w:rPr>
              <w:t>parties</w:t>
            </w:r>
          </w:p>
        </w:tc>
        <w:tc>
          <w:tcPr>
            <w:tcW w:w="560" w:type="dxa"/>
            <w:vAlign w:val="bottom"/>
          </w:tcPr>
          <w:p>
            <w:pPr>
              <w:jc w:val="right"/>
              <w:spacing w:after="0"/>
              <w:rPr>
                <w:sz w:val="20"/>
                <w:szCs w:val="20"/>
                <w:color w:val="auto"/>
              </w:rPr>
            </w:pPr>
            <w:r>
              <w:rPr>
                <w:rFonts w:ascii="Arial" w:cs="Arial" w:eastAsia="Arial" w:hAnsi="Arial"/>
                <w:sz w:val="14"/>
                <w:szCs w:val="14"/>
                <w:color w:val="auto"/>
              </w:rPr>
              <w:t>179,000</w:t>
            </w:r>
          </w:p>
        </w:tc>
        <w:tc>
          <w:tcPr>
            <w:tcW w:w="1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167,969</w:t>
            </w:r>
          </w:p>
        </w:tc>
        <w:tc>
          <w:tcPr>
            <w:tcW w:w="10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210,622</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30,119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Repayment of short-term loans provided by third</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parties</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w w:val="96"/>
              </w:rPr>
              <w:t>(150,000)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(109,500)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(196,817)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(28,144)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color w:val="auto"/>
              </w:rPr>
              <w:t>Repayment of short-term loans provided by related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120"/>
              <w:spacing w:after="0"/>
              <w:rPr>
                <w:sz w:val="20"/>
                <w:szCs w:val="20"/>
                <w:color w:val="auto"/>
              </w:rPr>
            </w:pPr>
            <w:r>
              <w:rPr>
                <w:rFonts w:ascii="Arial" w:cs="Arial" w:eastAsia="Arial" w:hAnsi="Arial"/>
                <w:sz w:val="14"/>
                <w:szCs w:val="14"/>
                <w:color w:val="auto"/>
              </w:rPr>
              <w:t>parties</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preferred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4"/>
                <w:szCs w:val="14"/>
                <w:color w:val="auto"/>
              </w:rPr>
              <w:t>Payments of deferred IPO costs</w:t>
            </w:r>
          </w:p>
        </w:tc>
        <w:tc>
          <w:tcPr>
            <w:tcW w:w="660" w:type="dxa"/>
            <w:vAlign w:val="bottom"/>
            <w:gridSpan w:val="2"/>
          </w:tcPr>
          <w:p>
            <w:pPr>
              <w:jc w:val="right"/>
              <w:ind w:right="5"/>
              <w:spacing w:after="0"/>
              <w:rPr>
                <w:sz w:val="20"/>
                <w:szCs w:val="20"/>
                <w:color w:val="auto"/>
              </w:rPr>
            </w:pPr>
            <w:r>
              <w:rPr>
                <w:rFonts w:ascii="Arial" w:cs="Arial" w:eastAsia="Arial" w:hAnsi="Arial"/>
                <w:sz w:val="14"/>
                <w:szCs w:val="14"/>
                <w:color w:val="auto"/>
              </w:rPr>
              <w:t>(9,025)</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(7,354)</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(1,567)</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Contribution from noncontrolling interests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color w:val="auto"/>
              </w:rPr>
              <w:t>Repayment of contribution from noncontrolling</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ind w:left="120"/>
              <w:spacing w:after="0"/>
              <w:rPr>
                <w:sz w:val="20"/>
                <w:szCs w:val="20"/>
                <w:color w:val="auto"/>
              </w:rPr>
            </w:pPr>
            <w:r>
              <w:rPr>
                <w:rFonts w:ascii="Arial" w:cs="Arial" w:eastAsia="Arial" w:hAnsi="Arial"/>
                <w:sz w:val="14"/>
                <w:szCs w:val="14"/>
                <w:color w:val="auto"/>
              </w:rPr>
              <w:t>interests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428,092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51,726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15,635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2,237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26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Effect of exchange rate changes on cash, cash</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equivalents and restricted cash</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(1,191)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(1,694)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Net change in cash, cash equivalents and</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Arial" w:cs="Arial" w:eastAsia="Arial" w:hAnsi="Arial"/>
                <w:sz w:val="14"/>
                <w:szCs w:val="14"/>
                <w:b w:val="1"/>
                <w:bCs w:val="1"/>
                <w:color w:val="auto"/>
              </w:rPr>
              <w:t>restricted cash</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133,655</w:t>
            </w:r>
          </w:p>
        </w:tc>
        <w:tc>
          <w:tcPr>
            <w:tcW w:w="100" w:type="dxa"/>
            <w:vAlign w:val="bottom"/>
          </w:tcPr>
          <w:p>
            <w:pPr>
              <w:spacing w:after="0"/>
              <w:rPr>
                <w:sz w:val="16"/>
                <w:szCs w:val="16"/>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(85,145)</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(36,653)</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the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beginning of the year</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168,152</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301,807</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216,662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30,982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Cash, cash equivalents and restricted cash at</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Arial" w:cs="Arial" w:eastAsia="Arial" w:hAnsi="Arial"/>
                <w:sz w:val="14"/>
                <w:szCs w:val="14"/>
                <w:b w:val="1"/>
                <w:bCs w:val="1"/>
                <w:color w:val="auto"/>
              </w:rPr>
              <w:t>the end of the year</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301,807</w:t>
            </w:r>
          </w:p>
        </w:tc>
        <w:tc>
          <w:tcPr>
            <w:tcW w:w="10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216,662</w:t>
            </w:r>
          </w:p>
        </w:tc>
        <w:tc>
          <w:tcPr>
            <w:tcW w:w="10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180,009</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25,741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b w:val="1"/>
                <w:bCs w:val="1"/>
                <w:color w:val="auto"/>
              </w:rPr>
              <w:t>Reconciliation of cash, cash equivalents and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ind w:left="120"/>
              <w:spacing w:after="0"/>
              <w:rPr>
                <w:sz w:val="20"/>
                <w:szCs w:val="20"/>
                <w:color w:val="auto"/>
              </w:rPr>
            </w:pPr>
            <w:r>
              <w:rPr>
                <w:rFonts w:ascii="Arial" w:cs="Arial" w:eastAsia="Arial" w:hAnsi="Arial"/>
                <w:sz w:val="14"/>
                <w:szCs w:val="14"/>
                <w:b w:val="1"/>
                <w:bCs w:val="1"/>
                <w:color w:val="auto"/>
              </w:rPr>
              <w:t>restricted cash</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295,133</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215,401</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178,862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25,577</w:t>
            </w: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560" w:type="dxa"/>
            <w:vAlign w:val="bottom"/>
          </w:tcPr>
          <w:p>
            <w:pPr>
              <w:jc w:val="right"/>
              <w:spacing w:after="0"/>
              <w:rPr>
                <w:sz w:val="20"/>
                <w:szCs w:val="20"/>
                <w:color w:val="auto"/>
              </w:rPr>
            </w:pPr>
            <w:r>
              <w:rPr>
                <w:rFonts w:ascii="Arial" w:cs="Arial" w:eastAsia="Arial" w:hAnsi="Arial"/>
                <w:sz w:val="14"/>
                <w:szCs w:val="14"/>
                <w:color w:val="auto"/>
              </w:rPr>
              <w:t>6,674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1,147</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6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Total cash, cash equivalents and restricted cash</w:t>
            </w: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shows in the statement of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301,807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216,662</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180,009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25,741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tcPr>
          <w:p>
            <w:pPr>
              <w:spacing w:after="0"/>
              <w:rPr>
                <w:sz w:val="20"/>
                <w:szCs w:val="20"/>
                <w:color w:val="auto"/>
              </w:rPr>
            </w:pPr>
            <w:r>
              <w:rPr>
                <w:rFonts w:ascii="Arial" w:cs="Arial" w:eastAsia="Arial" w:hAnsi="Arial"/>
                <w:sz w:val="14"/>
                <w:szCs w:val="14"/>
                <w:color w:val="auto"/>
              </w:rPr>
              <w:t>Interest paid</w:t>
            </w:r>
          </w:p>
        </w:tc>
        <w:tc>
          <w:tcPr>
            <w:tcW w:w="560" w:type="dxa"/>
            <w:vAlign w:val="bottom"/>
          </w:tcPr>
          <w:p>
            <w:pPr>
              <w:jc w:val="right"/>
              <w:spacing w:after="0"/>
              <w:rPr>
                <w:sz w:val="20"/>
                <w:szCs w:val="20"/>
                <w:color w:val="auto"/>
              </w:rPr>
            </w:pPr>
            <w:r>
              <w:rPr>
                <w:rFonts w:ascii="Arial" w:cs="Arial" w:eastAsia="Arial" w:hAnsi="Arial"/>
                <w:sz w:val="14"/>
                <w:szCs w:val="14"/>
                <w:color w:val="auto"/>
              </w:rPr>
              <w:t>4,580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7,738</w:t>
            </w: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4,044</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b w:val="1"/>
                <w:bCs w:val="1"/>
                <w:color w:val="auto"/>
              </w:rPr>
              <w:t>Supplemental disclosures of non-cash investing</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Arial" w:cs="Arial" w:eastAsia="Arial" w:hAnsi="Arial"/>
                <w:sz w:val="14"/>
                <w:szCs w:val="14"/>
                <w:b w:val="1"/>
                <w:bCs w:val="1"/>
                <w:color w:val="auto"/>
              </w:rPr>
              <w:t>and financing activities: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Consideration receivable from disposal of</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180,300</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103,473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14,796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4"/>
                <w:szCs w:val="14"/>
                <w:color w:val="auto"/>
              </w:rPr>
              <w:t>Contribution from Predecessor through waiver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120"/>
              <w:spacing w:after="0"/>
              <w:rPr>
                <w:sz w:val="20"/>
                <w:szCs w:val="20"/>
                <w:color w:val="auto"/>
              </w:rPr>
            </w:pPr>
            <w:r>
              <w:rPr>
                <w:rFonts w:ascii="Arial" w:cs="Arial" w:eastAsia="Arial" w:hAnsi="Arial"/>
                <w:sz w:val="14"/>
                <w:szCs w:val="14"/>
                <w:color w:val="auto"/>
              </w:rPr>
              <w:t>debt</w:t>
            </w:r>
          </w:p>
        </w:tc>
        <w:tc>
          <w:tcPr>
            <w:tcW w:w="560" w:type="dxa"/>
            <w:vAlign w:val="bottom"/>
          </w:tcPr>
          <w:p>
            <w:pPr>
              <w:jc w:val="right"/>
              <w:spacing w:after="0"/>
              <w:rPr>
                <w:sz w:val="20"/>
                <w:szCs w:val="20"/>
                <w:color w:val="auto"/>
              </w:rPr>
            </w:pPr>
            <w:r>
              <w:rPr>
                <w:rFonts w:ascii="Arial" w:cs="Arial" w:eastAsia="Arial" w:hAnsi="Arial"/>
                <w:sz w:val="14"/>
                <w:szCs w:val="14"/>
                <w:color w:val="auto"/>
              </w:rPr>
              <w:t>64,113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Deferred IPO costs included in accounts payable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3,812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The accompanying notes are an integral part of these combined and</w:t>
      </w:r>
    </w:p>
    <w:p>
      <w:pPr>
        <w:spacing w:after="0" w:line="13"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consolidated financial statements.</w:t>
      </w:r>
    </w:p>
    <w:p>
      <w:pPr>
        <w:spacing w:after="0" w:line="122"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8" w:name="page309"/>
    <w:bookmarkEnd w:id="30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 Nature of operation</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DSC Holdings Ltd. (the “Company,” “DSC”) was incorporated in the Cayman Islands in July 2021 as a wholly owned subsidiary of Souche Holdings Ltd. (“Souche Holdings,” or the “Predecessor”). The Company (and its Predecessor prior to the restructuring), through its subsidiaries, the variable interest entities (“VIEs”) and VIEs’ subsidiaries (collectively, the “Group”), provides digitalization solutions and transaction services enabling automobile merchants to digitalize, integrate and optimize their operations in the People’s Republic of China (the “PRC”).</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(b) Restructuring</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October 1, 2022, the board of directors of Souche Holdings approved a resolution to split the Predecessor’s businesses, whereby the digitalization solutions and transaction services (the “Listing Businesses”) were transferred from the Predecessor to the Company (the “Restructuring”). The Restructuring was executed in the following steps:</w:t>
      </w:r>
    </w:p>
    <w:p>
      <w:pPr>
        <w:spacing w:after="0" w:line="79" w:lineRule="exact"/>
        <w:rPr>
          <w:sz w:val="20"/>
          <w:szCs w:val="20"/>
          <w:color w:val="auto"/>
        </w:rPr>
      </w:pPr>
    </w:p>
    <w:p>
      <w:pPr>
        <w:jc w:val="both"/>
        <w:ind w:left="1920" w:right="1398" w:hanging="256"/>
        <w:spacing w:after="0" w:line="237" w:lineRule="auto"/>
        <w:tabs>
          <w:tab w:leader="none" w:pos="189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shareholders of Souche Holdings received the Company’s ordinary shares and/or convertible redeemable preferred shares through a distribution in species by Souche Holdings, or in some cases, warrants to purchase the Company’s ordinary shares and/or preferred shares (the “Restructuring Warrants”). Holders of these warrants were entitled to the equivalent rights and obligations as the underlying ordinary shares and/or preferred shares as if they had been exercised, such that each shareholder’s right and equity interests in the Company were identical to their rights and equity interests in Souche Holdings. The Restructuring Warrants were fully exercised and converted into ordinary shares or preferred shares prior to the completion of the Restructuring.</w:t>
      </w:r>
    </w:p>
    <w:p>
      <w:pPr>
        <w:spacing w:after="0" w:line="73" w:lineRule="exact"/>
        <w:rPr>
          <w:rFonts w:ascii="Arial" w:cs="Arial" w:eastAsia="Arial" w:hAnsi="Arial"/>
          <w:sz w:val="14"/>
          <w:szCs w:val="14"/>
          <w:color w:val="auto"/>
        </w:rPr>
      </w:pPr>
    </w:p>
    <w:p>
      <w:pPr>
        <w:jc w:val="both"/>
        <w:ind w:left="1920" w:right="1398" w:hanging="256"/>
        <w:spacing w:after="0" w:line="241" w:lineRule="auto"/>
        <w:tabs>
          <w:tab w:leader="none" w:pos="189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 May 2023, Souche Holdings transferred Hangzhou Dasouche Information Technology Services Co., Ltd. (“Hangzhou Dasouche”), Cheyipai (Beijing) Automotive Technology Services Co., Ltd. (“Cheyipai”) and Sichuan Dasouche Software Technology Co., Ltd. (collectively, the “WFOEs”) to the Company’s wholly owned Hong Kong investment holding companies.</w:t>
      </w:r>
    </w:p>
    <w:p>
      <w:pPr>
        <w:spacing w:after="0" w:line="84" w:lineRule="exact"/>
        <w:rPr>
          <w:rFonts w:ascii="Arial" w:cs="Arial" w:eastAsia="Arial" w:hAnsi="Arial"/>
          <w:sz w:val="14"/>
          <w:szCs w:val="14"/>
          <w:color w:val="auto"/>
        </w:rPr>
      </w:pPr>
    </w:p>
    <w:p>
      <w:pPr>
        <w:jc w:val="both"/>
        <w:ind w:left="1920" w:right="1398" w:hanging="256"/>
        <w:spacing w:after="0" w:line="239" w:lineRule="auto"/>
        <w:tabs>
          <w:tab w:leader="none" w:pos="189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Souche Holdings transferred certain PRC operating companies operating the Listing Businesses to the WFOEs through a series of equity transactions at nominal consideration. Further, in May and June 2023, the nominee shareholders of the existing VIEs, Hangzhou Souche Network Technology Co., Ltd. and Beijing Peak Technology Co., Ltd., entered into a series of new contractual arrangements which enabled Hangzhou Dasouche and Cheyipai to consolidate the VIEs and their subsidiaries.</w:t>
      </w:r>
    </w:p>
    <w:p>
      <w:pPr>
        <w:spacing w:after="0" w:line="8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Restructuring was completed in June 2023.</w:t>
      </w:r>
    </w:p>
    <w:p>
      <w:pPr>
        <w:spacing w:after="0" w:line="130"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09" w:name="page310"/>
    <w:bookmarkEnd w:id="30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As of December 31, 2025, the Company’s principal subsidiaries, VIEs and subsidiaries of the</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VIEs are as follows:</w:t>
      </w:r>
    </w:p>
    <w:p>
      <w:pPr>
        <w:spacing w:after="0" w:line="1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8"/>
              </w:rPr>
              <w:t>Percentage of</w:t>
            </w: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5"/>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8"/>
              </w:rPr>
              <w:t>equity</w:t>
            </w: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5"/>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interest</w:t>
            </w: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5"/>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attributable</w:t>
            </w: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25"/>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Date of</w:t>
            </w:r>
          </w:p>
        </w:tc>
        <w:tc>
          <w:tcPr>
            <w:tcW w:w="80" w:type="dxa"/>
            <w:vAlign w:val="bottom"/>
          </w:tcPr>
          <w:p>
            <w:pPr>
              <w:spacing w:after="0"/>
              <w:rPr>
                <w:sz w:val="10"/>
                <w:szCs w:val="10"/>
                <w:color w:val="auto"/>
              </w:rPr>
            </w:pPr>
          </w:p>
        </w:tc>
        <w:tc>
          <w:tcPr>
            <w:tcW w:w="8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Place of</w:t>
            </w:r>
          </w:p>
        </w:tc>
        <w:tc>
          <w:tcPr>
            <w:tcW w:w="8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to the</w:t>
            </w: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56"/>
        </w:trPr>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establishment</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establishment</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Company</w:t>
            </w:r>
          </w:p>
        </w:tc>
        <w:tc>
          <w:tcPr>
            <w:tcW w:w="60" w:type="dxa"/>
            <w:vAlign w:val="bottom"/>
          </w:tcPr>
          <w:p>
            <w:pPr>
              <w:spacing w:after="0"/>
              <w:rPr>
                <w:sz w:val="13"/>
                <w:szCs w:val="13"/>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Principal activities</w:t>
            </w:r>
          </w:p>
        </w:tc>
      </w:tr>
      <w:tr>
        <w:trPr>
          <w:trHeight w:val="175"/>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1720" w:type="dxa"/>
            <w:vAlign w:val="bottom"/>
          </w:tcPr>
          <w:p>
            <w:pPr>
              <w:spacing w:after="0"/>
              <w:rPr>
                <w:sz w:val="20"/>
                <w:szCs w:val="20"/>
                <w:color w:val="auto"/>
              </w:rPr>
            </w:pPr>
            <w:r>
              <w:rPr>
                <w:rFonts w:ascii="Arial" w:cs="Arial" w:eastAsia="Arial" w:hAnsi="Arial"/>
                <w:sz w:val="14"/>
                <w:szCs w:val="14"/>
                <w:color w:val="auto"/>
              </w:rPr>
              <w:t>Hangzhou Dasouche</w:t>
            </w: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October 2, 2021</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Information Technology</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Service 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CheYiPai (Beijing)</w:t>
            </w:r>
          </w:p>
        </w:tc>
        <w:tc>
          <w:tcPr>
            <w:tcW w:w="118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7"/>
              </w:rPr>
              <w:t>February 22, 2012</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line="156"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w w:val="98"/>
              </w:rPr>
              <w:t>Investment holding and</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Automotive Technology</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other services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Service 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Sichuan Dasouche</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rPr>
              <w:t>December 29,</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line="156"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w w:val="98"/>
              </w:rPr>
              <w:t>Investment holding and</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Software Technology</w:t>
            </w:r>
          </w:p>
        </w:tc>
        <w:tc>
          <w:tcPr>
            <w:tcW w:w="1180" w:type="dxa"/>
            <w:vAlign w:val="bottom"/>
            <w:gridSpan w:val="2"/>
          </w:tcPr>
          <w:p>
            <w:pPr>
              <w:jc w:val="center"/>
              <w:spacing w:after="0" w:line="156"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digitalization solutions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services</w:t>
            </w: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Zhejiang Dasouche</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rPr>
              <w:t>July 4, 2018</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line="156"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Digitalization solutions</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Software Technology</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services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Zhejiang Dasouche</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8"/>
              </w:rPr>
              <w:t>May 18, 2023</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line="156"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w w:val="98"/>
              </w:rPr>
              <w:t>Investment holding and</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w w:val="98"/>
              </w:rPr>
              <w:t>Technology Development</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other services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Beijing Shared Logistics</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8"/>
              </w:rPr>
              <w:t>May 25, 2016</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80" w:type="dxa"/>
            <w:vAlign w:val="bottom"/>
            <w:gridSpan w:val="2"/>
          </w:tcPr>
          <w:p>
            <w:pPr>
              <w:jc w:val="center"/>
              <w:ind w:left="11"/>
              <w:spacing w:after="0" w:line="156"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Delivery services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Service 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1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rPr>
              <w:t>Variable interest entities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0"/>
        </w:trPr>
        <w:tc>
          <w:tcPr>
            <w:tcW w:w="1720" w:type="dxa"/>
            <w:vAlign w:val="bottom"/>
          </w:tcPr>
          <w:p>
            <w:pPr>
              <w:spacing w:after="0"/>
              <w:rPr>
                <w:sz w:val="20"/>
                <w:szCs w:val="20"/>
                <w:color w:val="auto"/>
              </w:rPr>
            </w:pPr>
            <w:r>
              <w:rPr>
                <w:rFonts w:ascii="Arial" w:cs="Arial" w:eastAsia="Arial" w:hAnsi="Arial"/>
                <w:sz w:val="14"/>
                <w:szCs w:val="14"/>
                <w:color w:val="auto"/>
                <w:w w:val="99"/>
              </w:rPr>
              <w:t>Hangzhou Souche Network</w:t>
            </w: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July 3, 2019</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PRC</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Nil</w:t>
            </w:r>
          </w:p>
        </w:tc>
        <w:tc>
          <w:tcPr>
            <w:tcW w:w="6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Investment holding</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Technology 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Beijing Peak Technology</w:t>
            </w:r>
          </w:p>
        </w:tc>
        <w:tc>
          <w:tcPr>
            <w:tcW w:w="118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97"/>
              </w:rPr>
              <w:t>February 26, 2015</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7"/>
              </w:rPr>
              <w:t>Nil</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B2B transaction</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facilitation services</w:t>
            </w:r>
          </w:p>
        </w:tc>
      </w:tr>
      <w:tr>
        <w:trPr>
          <w:trHeight w:val="41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rPr>
              <w:t>Subsidiaries of the VIEs: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0"/>
        </w:trPr>
        <w:tc>
          <w:tcPr>
            <w:tcW w:w="1720" w:type="dxa"/>
            <w:vAlign w:val="bottom"/>
          </w:tcPr>
          <w:p>
            <w:pPr>
              <w:spacing w:after="0"/>
              <w:rPr>
                <w:sz w:val="20"/>
                <w:szCs w:val="20"/>
                <w:color w:val="auto"/>
              </w:rPr>
            </w:pPr>
            <w:r>
              <w:rPr>
                <w:rFonts w:ascii="Arial" w:cs="Arial" w:eastAsia="Arial" w:hAnsi="Arial"/>
                <w:sz w:val="14"/>
                <w:szCs w:val="14"/>
                <w:color w:val="auto"/>
              </w:rPr>
              <w:t>Beijing Yunyang</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7"/>
              </w:rPr>
              <w:t>February 26, 2016</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PRC</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Nil</w:t>
            </w:r>
          </w:p>
        </w:tc>
        <w:tc>
          <w:tcPr>
            <w:tcW w:w="6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Digitalization solutions</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Information Technology</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services</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Co., Ltd. (“Beijing</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Yunyang”)</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Beijing Yunche Network</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7"/>
              </w:rPr>
              <w:t>April 21, 2015</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7"/>
              </w:rPr>
              <w:t>Nil</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Delivery services</w:t>
            </w:r>
          </w:p>
        </w:tc>
      </w:tr>
      <w:tr>
        <w:trPr>
          <w:trHeight w:val="187"/>
        </w:trPr>
        <w:tc>
          <w:tcPr>
            <w:tcW w:w="1720" w:type="dxa"/>
            <w:vAlign w:val="bottom"/>
          </w:tcPr>
          <w:p>
            <w:pPr>
              <w:ind w:left="140"/>
              <w:spacing w:after="0"/>
              <w:rPr>
                <w:sz w:val="20"/>
                <w:szCs w:val="20"/>
                <w:color w:val="auto"/>
              </w:rPr>
            </w:pPr>
            <w:r>
              <w:rPr>
                <w:rFonts w:ascii="Arial" w:cs="Arial" w:eastAsia="Arial" w:hAnsi="Arial"/>
                <w:sz w:val="14"/>
                <w:szCs w:val="14"/>
                <w:color w:val="auto"/>
              </w:rPr>
              <w:t>Technology Co., Ltd.</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1720" w:type="dxa"/>
            <w:vAlign w:val="bottom"/>
          </w:tcPr>
          <w:p>
            <w:pPr>
              <w:spacing w:after="0" w:line="156" w:lineRule="exact"/>
              <w:rPr>
                <w:sz w:val="20"/>
                <w:szCs w:val="20"/>
                <w:color w:val="auto"/>
              </w:rPr>
            </w:pPr>
            <w:r>
              <w:rPr>
                <w:rFonts w:ascii="Arial" w:cs="Arial" w:eastAsia="Arial" w:hAnsi="Arial"/>
                <w:sz w:val="14"/>
                <w:szCs w:val="14"/>
                <w:color w:val="auto"/>
              </w:rPr>
              <w:t>Zhejiang Dafengche</w:t>
            </w:r>
          </w:p>
        </w:tc>
        <w:tc>
          <w:tcPr>
            <w:tcW w:w="6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9"/>
              </w:rPr>
              <w:t>April 7, 2023</w:t>
            </w:r>
          </w:p>
        </w:tc>
        <w:tc>
          <w:tcPr>
            <w:tcW w:w="8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color w:val="auto"/>
              </w:rPr>
              <w:t>PRC</w:t>
            </w:r>
          </w:p>
        </w:tc>
        <w:tc>
          <w:tcPr>
            <w:tcW w:w="8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color w:val="auto"/>
                <w:w w:val="97"/>
              </w:rPr>
              <w:t>Nil</w:t>
            </w: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SaaS services and</w:t>
            </w:r>
          </w:p>
        </w:tc>
      </w:tr>
      <w:tr>
        <w:trPr>
          <w:trHeight w:val="156"/>
        </w:trPr>
        <w:tc>
          <w:tcPr>
            <w:tcW w:w="1720" w:type="dxa"/>
            <w:vAlign w:val="bottom"/>
          </w:tcPr>
          <w:p>
            <w:pPr>
              <w:ind w:left="140"/>
              <w:spacing w:after="0" w:line="156" w:lineRule="exact"/>
              <w:rPr>
                <w:sz w:val="20"/>
                <w:szCs w:val="20"/>
                <w:color w:val="auto"/>
              </w:rPr>
            </w:pPr>
            <w:r>
              <w:rPr>
                <w:rFonts w:ascii="Arial" w:cs="Arial" w:eastAsia="Arial" w:hAnsi="Arial"/>
                <w:sz w:val="14"/>
                <w:szCs w:val="14"/>
                <w:color w:val="auto"/>
              </w:rPr>
              <w:t>Technology Co., Ltd.</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used car inspection</w:t>
            </w:r>
          </w:p>
        </w:tc>
      </w:tr>
      <w:tr>
        <w:trPr>
          <w:trHeight w:val="156"/>
        </w:trPr>
        <w:tc>
          <w:tcPr>
            <w:tcW w:w="1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line="156" w:lineRule="exact"/>
              <w:rPr>
                <w:sz w:val="20"/>
                <w:szCs w:val="20"/>
                <w:color w:val="auto"/>
              </w:rPr>
            </w:pPr>
            <w:r>
              <w:rPr>
                <w:rFonts w:ascii="Arial" w:cs="Arial" w:eastAsia="Arial" w:hAnsi="Arial"/>
                <w:sz w:val="14"/>
                <w:szCs w:val="14"/>
                <w:color w:val="auto"/>
              </w:rPr>
              <w:t>and certification</w:t>
            </w:r>
          </w:p>
        </w:tc>
      </w:tr>
      <w:tr>
        <w:trPr>
          <w:trHeight w:val="187"/>
        </w:trPr>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services</w:t>
            </w:r>
          </w:p>
        </w:tc>
      </w:tr>
    </w:tbl>
    <w:p>
      <w:pPr>
        <w:spacing w:after="0" w:line="16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Basis of Presentation for the Restructuring</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shareholders’ equity interest percentages and shareholder rights of DSC Holdings Ltd. are the same as their interests and rights in Souche Holdings Ltd. immediately before and after the Restructuring. Accordingly, the Group accounted for the Restructuring as a transaction between entities under common ownership, which is akin to a restructuring of entities under common</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0" w:name="page311"/>
    <w:bookmarkEnd w:id="31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spacing w:after="0" w:line="241" w:lineRule="auto"/>
        <w:rPr>
          <w:sz w:val="20"/>
          <w:szCs w:val="20"/>
          <w:color w:val="auto"/>
        </w:rPr>
      </w:pPr>
      <w:r>
        <w:rPr>
          <w:rFonts w:ascii="Arial" w:cs="Arial" w:eastAsia="Arial" w:hAnsi="Arial"/>
          <w:sz w:val="14"/>
          <w:szCs w:val="14"/>
          <w:color w:val="auto"/>
        </w:rPr>
        <w:t>control in a manner similar to a pooling of interests. Therefore, the accompanying combined and consolidated financial statements of the Group include the assets, liabilities, revenue, expenses, and cash flows that are directly attributable to the Listing Businesses for all periods presented and are prepared as if the corporate structure of the Group upon the completion of the Restructuring had been in existence since the beginning of the periods presented.</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Group’s assets and liabilities are generally stated at historical carrying amounts. Those assets and liabilities specifically related to the Listing Businesses are included in the Group’s consolidated balance sheets. The Company’s equity structure was retrospectively adjusted with ordinary shares based on par value and the preferred shares based on their fair value on the Restructuring completion date for the periods prior to the completion of the Restructuring. The contributions from the Predecessor were presented as “Contributions from Predecessor” in the statements of changes in shareholders’ deficit.</w:t>
      </w:r>
    </w:p>
    <w:p>
      <w:pPr>
        <w:spacing w:after="0" w:line="76"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The Group’s combined and consolidated statements of comprehensive loss include all revenues, costs and expenses directly attributable to the Listing Businesses, including those expenses incurred by the Predecessor and its subsidiaries relating solely to the Listing Businesses, reflecting allocations of general corporate expense from the Predecessor primarily related to office rental expenses, office utilities, information technology support and certain corporate functions, including senior management, finance, legal and human resources and other shared expenses. The allocations were made on a direct usage basis when identifiable, with the remainder allocated based on the Group’s headcount as a proportion of the Predecessor’s total headcount. These allocations were made on a basis considered reasonable by management but may differ from actual costs which would have been incurred if the Group operated independently for the periods before the Restructuring. The following tables set forth the sales and marketing expenses and general and administrative expenses allocated from/(to) the Predecessor for the years ended December 31, 2023, 2024 and 2025:</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2025</w:t>
            </w:r>
          </w:p>
        </w:tc>
      </w:tr>
      <w:tr>
        <w:trPr>
          <w:trHeight w:val="208"/>
        </w:trPr>
        <w:tc>
          <w:tcPr>
            <w:tcW w:w="2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196"/>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820" w:type="dxa"/>
            <w:vAlign w:val="bottom"/>
          </w:tcPr>
          <w:p>
            <w:pPr>
              <w:jc w:val="right"/>
              <w:ind w:right="238"/>
              <w:spacing w:after="0"/>
              <w:rPr>
                <w:sz w:val="20"/>
                <w:szCs w:val="20"/>
                <w:color w:val="auto"/>
              </w:rPr>
            </w:pPr>
            <w:r>
              <w:rPr>
                <w:rFonts w:ascii="Arial" w:cs="Arial" w:eastAsia="Arial" w:hAnsi="Arial"/>
                <w:sz w:val="11"/>
                <w:szCs w:val="11"/>
                <w:b w:val="1"/>
                <w:bCs w:val="1"/>
                <w:color w:val="auto"/>
              </w:rPr>
              <w:t>US$</w:t>
            </w: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2,940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884</w:t>
            </w:r>
          </w:p>
        </w:tc>
      </w:tr>
      <w:tr>
        <w:trPr>
          <w:trHeight w:val="204"/>
        </w:trPr>
        <w:tc>
          <w:tcPr>
            <w:tcW w:w="2980" w:type="dxa"/>
            <w:vAlign w:val="bottom"/>
          </w:tcPr>
          <w:p>
            <w:pPr>
              <w:spacing w:after="0"/>
              <w:rPr>
                <w:sz w:val="20"/>
                <w:szCs w:val="20"/>
                <w:color w:val="auto"/>
              </w:rPr>
            </w:pPr>
            <w:r>
              <w:rPr>
                <w:rFonts w:ascii="Arial" w:cs="Arial" w:eastAsia="Arial" w:hAnsi="Arial"/>
                <w:sz w:val="14"/>
                <w:szCs w:val="14"/>
                <w:color w:val="auto"/>
              </w:rPr>
              <w:t>Sales and marketing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w:t>
            </w:r>
          </w:p>
        </w:tc>
        <w:tc>
          <w:tcPr>
            <w:tcW w:w="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r>
      <w:tr>
        <w:trPr>
          <w:trHeight w:val="231"/>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9,134</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10,207</w:t>
            </w: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r>
    </w:tbl>
    <w:p>
      <w:pPr>
        <w:spacing w:after="0" w:line="11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Prior to the Restructuring, the Predecessor was the sole entity which received proceeds from equity financings. Cash proceeds from such equity financings were allocated on an as-needed basis between the Listing Businesses and the Predecessor’s other subsidiaries. All cash allocations to the Listing Businesses were recorded as inter-company loans as opposed to capital contribution from the Predecessor. After the Restructuring, the Predecessor continues providing interest-free loans to the Group to meet the working capital needs. Some of these loans were subsequently waived or extended. As a result, the Group’s historical financial information may not be indicative of future results of operations, financial position, shareholders’ deficit and cash flows had the Group operated as a stand-alone entity and contracted at arm’s length with unrelated parties for funding.</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 Variable interest entities</w:t>
      </w:r>
    </w:p>
    <w:p>
      <w:pPr>
        <w:spacing w:after="0" w:line="107"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PRC laws and regulations restrict and impose condition on direct foreign investment in certain types of business including value-added telecommunication business. The Group operated certain businesses through its VIEs, Hangzhou Souche Network Technology Co., Ltd. and Beijing Peak Technology Co., Ltd., and the VIEs’ subsidiaries in order to comply with the laws and regulations of China. The Company, through its WFOEs in the PRC, entered into a series of contractual agreements</w:t>
      </w:r>
    </w:p>
    <w:p>
      <w:pPr>
        <w:spacing w:after="0" w:line="91"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1" w:name="page312"/>
    <w:bookmarkEnd w:id="31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spacing w:after="0" w:line="280" w:lineRule="auto"/>
        <w:rPr>
          <w:sz w:val="20"/>
          <w:szCs w:val="20"/>
          <w:color w:val="auto"/>
        </w:rPr>
      </w:pPr>
      <w:r>
        <w:rPr>
          <w:rFonts w:ascii="Arial" w:cs="Arial" w:eastAsia="Arial" w:hAnsi="Arial"/>
          <w:sz w:val="13"/>
          <w:szCs w:val="13"/>
          <w:color w:val="auto"/>
        </w:rPr>
        <w:t>(the “Contractual Arrangements”) with the shareholders of each VIE which give the WFOEs the power to direct the activities that most significantly affect the economic performance of the VIEs and receive substantially all economic benefits from the VIEs that potentially could be significant to the VIEs.</w:t>
      </w:r>
    </w:p>
    <w:p>
      <w:pPr>
        <w:spacing w:after="0" w:line="58"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Despite the lack of equity ownership, through the Contractual Arrangements, the nominee shareholders of the VIEs effectively assigned all of their voting rights underlying their equity interests in the VIEs to the applicable WFOEs, who immediately assigned related voting rights in the VIEs to the Company, which give the Company the power to direct the activities that most significantly impact the VIEs’ economic performance. In addition, through the other exclusive agreements, which consist of the voting proxy agreements, exclusive business cooperation agreements, exclusive equity interest option agreements, share pledge agreements, individual shareholder undertaking, spousal undertaking, financial support undertaking letter and proxy agreements, the Company, through its wholly owned subsidiaries in the PRC, has the right to receive economic benefits from the VIEs that potentially could be significant to the VIEs. Lastly, through the financial support undertaking letter, the Company has the obligation to absorb losses of the VIEs that could potentially be significant to the VIEs. Therefore, the Company is considered the primary beneficiary of the VIEs and consolidates the VIEs and their subsidiaries. Prior to the Restructuring, the shareholders of each VIE also entered into similar contractual arrangements with the Predecessor, the terms of which are substantially similar to the current Contractual Agreements.</w:t>
      </w:r>
    </w:p>
    <w:p>
      <w:pPr>
        <w:spacing w:after="0" w:line="7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principal terms of the Contractual Arrangements are further described below:</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Voting Proxy Agreements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voting proxy agreements among the Company’s WFOEs, the VIEs and the VIEs’ shareholders, each shareholder of the VIEs authorizes the corresponding WFOEs, the directors authorized by the WFOEs and their successors, and any liquidator replacing the directors of such WFOEs to exercise on behalf of the shareholders all of the rights as a shareholder of the VIEs including but not limited to the right to propose, convene and attend shareholders’ meetings, exercise voting rights, designate and appoint legal representatives, directors, supervisors, chief executive officers, and other senior management members, sign minutes and file documents with relevant company registries, and exercise voting rights on winding up in accordance with PRC laws and the then-effective articles of association of the VIEs. Each voting proxy agreement is irrevocable and remains in effect for as long as the relevant shareholder or its successor(s) continues to own shares in the VIEs.</w:t>
      </w:r>
    </w:p>
    <w:p>
      <w:pPr>
        <w:spacing w:after="0" w:line="139"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Exclusive Business Cooperation Agreements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exclusive business cooperation agreements among the Company’s WFOEs and the VIEs, the Company’s WFOEs have the exclusive right to provide or designate other parties to provide complete technical, consulting and other services to the VIEs. Without prior written consent of the Company’s WFOEs, the VIEs agree not to accept any similar services provided by any third party and shall not cooperate with any third party regarding the matters ascribed by the exclusive business cooperation agreements. The VIEs agree to pay the Company’s WFOEs services fees, the amount of which will be determined and adjusted, from time to time, at the sole discretion of the Company’s WFOEs, taking into account, profit before taxation, working capital requirements, expenses and taxes and operating profit of the VIEs. The Company’s WFOEs have the exclusive ownership of intellectual property rights created as a result of the performance of the agreements. The agreements will remain effective for ten years and shall be extended for five years at a time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2" w:name="page313"/>
    <w:bookmarkEnd w:id="31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upon each expiration date indefinitely unless the Company’s WFOEs decide not to extend the agreements. The agreements can only be unilaterally revoked/amended by the Company’s WFOEs, whereas under no circumstance can the VIEs terminate the agreements.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Exclusive Equity Interest Option Agreements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exclusive equity interest option agreements among the Company’s WFOEs, the VIEs and the VIEs’ shareholders, each shareholder of the VIEs grants an irrevocable and exclusive right to the corresponding WFOEs to purchase, or designate one or more persons to purchase, their equity interests in the VIEs at any time in part or in whole, at the sole and absolute discretion of the WFOEs, to the extent permitted under PRC law at a purchase price of the lower of the total capital contribution to the registered capital of the VIEs multiplied by the percentage of equity interests in the VIEs being purchased and the lowest price allowed under PRC law. In the event that the purchase price is greater than RMB1, the shareholders of each of the VIEs agree that any and all proceeds acquired by such shareholders as a result of the exercise of the exclusive right to purchase under this agreement by the respective WFOEs or their designee(s) shall be gifted without compensation to such WFOEs or, as requested by such WFOEs, to their designee(s) in full.</w:t>
      </w:r>
    </w:p>
    <w:p>
      <w:pPr>
        <w:spacing w:after="0" w:line="7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VIEs and the shareholders of the VIEs jointly and severally covenant that, without prior written consent of the WFOEs, they will not, among others, (i) sell, transfer, dispose, or create any pledge or encumbrance on any equity, assets or business of the VIEs, (ii) increase or decrease the VIEs’ registered capital, change its structure of registered capital, or amend the VIEs’ articles of association, (iii) vote in favor of any shareholder resolution to declare or distribute any dividends or other distributions, if dividends or other form of assets were distributed, the shareholders are required to transfer all received distribution to the WFOEs or their designees, (iv) merge with or acquire other entity or make any investments, (v) enter into any material contracts outside of ordinary course of business, (vi) allow the VIEs to incur any borrowings or loans or guarantee in any form, (vii) appoint or replace any directors or management which shall be appointed/terminated by the WFOEs to operate the VIEs. These agreements will remain in effect for a period of ten years and shall be extended for five years at a time upon each expiration date indefinitely unless the Company’s WFOEs decide not to extend the agreement and provide written notice to the VIEs and the shareholders of the VIEs at least 30 days before the end of the term.</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Share Pledge Agreements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Pursuant to the share pledge agreements among the Company’s WFOEs, the VIEs and VIEs’ shareholders, shareholders of the VIEs pledged all of their respective equity interests in the VIEs (the “Pledge”) to the Company’s WFOEs as security for performance of the obligations of the VIEs and their shareholders under the Contractual Arrangements including, among others, the exclusive business cooperation agreements, the exclusive equity interest option agreements and the voting proxy agreements. The term of the Pledge shall end when the last obligation secured by the Pledge is paid or fully fulfilled.</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WFOEs are entitled to collect dividends and distributable profits on the pledged equity during the effective period of the share pledge agreements. After the completion of the equity pledge registrations, in the event of a breach by the VIEs or their shareholders of their obligations under the foregoing agreements, the Company’s WFOEs, as pledgee, will have the right, but not the obligation, to dispose of the pledged equity interests in accordance with the provision of the share pledge agreements. Once the Company’s WFOEs elect to dispose the pledge, the shareholders of the VIEs shall cease to be entitled to any rights or interests associated with the equity interest. The</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3" w:name="page314"/>
    <w:bookmarkEnd w:id="31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shareholders of the VIEs also agree not to transfer the pledged equity interests or allow any security interest or other encumbrance on property rights that could affect the Company’s WFOEs’ rights and interests in the pledged equity interests, unless, approved by the Company’s WFOEs in writing during the term of the share pledge agreement.</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Individual Shareholder Undertaking</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Pursuant to the individual shareholder undertaking, each of the registered shareholder of the VIEs confirms and irrevocably covenants that their equity interests and all the rights or interests attached thereto will be transferred free of charge and unconditionally to the respective WFOEs or any natural person or legal person designated by the WFOEs in the event of their death or other unforeseen events that render them unable to fulfill their obligations under the relevant share pledge agreements, exclusive equity interest option agreements, and voting proxy agreements. Additionally, the shareholder agrees that his or her spouse does not own and cannot dispose of the equity interests and all the rights or interests attached thereto in the VIEs, and the shareholder will not take actions that compete with the Company.</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Spousal Undertaking</w:t>
      </w:r>
    </w:p>
    <w:p>
      <w:pPr>
        <w:spacing w:after="0" w:line="9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Pursuant to the spousal undertaking, the spouses of the applicable registered shareholders of the VIEs acknowledge and confirm the execution of the relevant share pledge agreements, exclusive equity interest option agreements and voting proxy agreements, and unconditionally and irrevocably agrees that the equity interest and all right or interest attached thereto in the VIEs held by and registered in the name of his or her respective spouse will be disposed of pursuant to these agreements. In addition, each of them agrees not to assert any rights over the equity interest and all right or interest attached thereto in the VIEs held by his or her respective spouses. In addition, in the event that any of them obtains any equity interest in the VIEs held by their respective spouses for any reason, such spouses agree to be bound by similar obligations and agree to enter into similar contractual arrangements.</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Financial Support Undertaking Letter</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Pursuant to the financial support undertaking letter, the Company is obligated and hereby undertakes to provide unlimited financial support to the VIEs, to the extent permissible under the applicable PRC laws and regulations, whether or not any such operational loss is actually incurred. The financial support can take various forms, including but are not limited to cash transfer, entrusted loans or borrowings. The Company will not request repayment of the loans or borrowings if the VIEs or its nominee shareholders do not have sufficient funds or are unable to repay. The letter is effective until the earlier of (i) the date on which all of the equity interests of the VIEs have been acquired by us or our designee, and (ii) the date on which we, in our sole and absolute discretion, unilaterally terminate the applicable financial support undertaking letters.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Proxy Agreements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Pursuant to the proxy agreements between the Company and the Company’s WFOEs, the WFOEs irrevocably and unconditionally commit to execute their rights under the voting proxy agreements entered into among the WFOEs, the VIEs and VIEs’ shareholders in accordance with the instructions from the Company.</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4" w:name="page315"/>
    <w:bookmarkEnd w:id="31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 conducted certain businesses through the VIEs and VIEs’s subsidiaries, of which the Company is the ultimate primary beneficiary. In the Company’s opinion, (i) the ownership structures of the VIEs and the WFOEs in China, both currently and immediately after giving effect to this offering, are not in violation of applicable PRC laws and regulations currently in effect; (ii) the contractual arrangements among the WFOEs, VIEs and their shareholders governed by PRC law are currently valid and binding in accordance with the applicable PRC laws and regulations currently in effect and do not result in any violation of the applicable PRC laws or regulations currently in effect; and (iii) the voting proxy agreements between the Company and the WFOEs are not in violation of the articles of association of the Company and Cayman Islands Law.</w:t>
      </w:r>
    </w:p>
    <w:p>
      <w:pPr>
        <w:spacing w:after="0" w:line="84"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On January 1, 2020, the Foreign Investment Law came into effect and became the principal laws and regulations governing foreign investment in the PRC. The Foreign Investment Law requires compliance with a negative industry catalog (the “Negative List”) which sets forth the business that are restricted and prohibited from foreign investment. The Foreign Investment Law does not explicitly classify contractual arrangements as a form of foreign investment, but it contains a catch -all provision which includes investments made by foreign investors through means stipulated in laws or administrative regulations or other methods prescribed by the State Council.</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There are uncertainties regarding the interpretation of the Foreign Investment Law with respect to the contractual arrangements as a form of foreign investment. The VIEs’ value-added telecommunication services are included in the Negative List. If any of the contractual arrangements would be deemed as a foreign investment that is prohibited by the Foreign Investment Law or any other current or future laws, regulations or interpretations, the Company’s ability, through its wholly owned subsidiaries in the PRC, to enforce its rights under these contractual arrangements with the VIEs and the Company’s ability to conduct business through the VIEs could be severely limited.</w:t>
      </w:r>
    </w:p>
    <w:p>
      <w:pPr>
        <w:spacing w:after="0" w:line="86"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In addition, if the current organizational structure or any of the contractual arrangements were found to be in violation of any existing and/or future PRC laws or regulations, the Company may be subject to penalties, which may include but not be limited to, the cancellation or revocation of the Company’s business and operating licenses, being required to restructure the Company’s operations or discontinue the Company’s operating activities. The imposition of any of these or other penalties may cause the Company to lose its power to direct the activities that most significantly impact the VIEs and/or the right to receive economic benefits that could potentially be significant to the VIEs based on the contractual arrangements, which may result in the Company no longer being able to consolidate the financial results of the VIEs in the combined and consolidated financial statements.</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Unrecognized revenue-producing assets held by the VIEs mainly include licenses, such as the internet content provision license, electronic data intercharge license and auction permit, trademarks, patents and the domain names. The licenses and permit held by the VIEs are required under the relevant laws and regulations of Chinese mainland for the operation of internet businesses, and therefore are integral to the Company’s operations.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5" w:name="page316"/>
    <w:bookmarkEnd w:id="31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following table sets forth the carrying amounts of the assets, liabilities of the VIEs and VIEs’ subsidiaries included in the Company’s consolidated balance sheets:</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7"/>
                <w:szCs w:val="17"/>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2"/>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6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89,609</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75,319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10,770</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1,143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13,730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860" w:type="dxa"/>
            <w:vAlign w:val="bottom"/>
          </w:tcPr>
          <w:p>
            <w:pPr>
              <w:jc w:val="right"/>
              <w:spacing w:after="0"/>
              <w:rPr>
                <w:sz w:val="20"/>
                <w:szCs w:val="20"/>
                <w:color w:val="auto"/>
              </w:rPr>
            </w:pPr>
            <w:r>
              <w:rPr>
                <w:rFonts w:ascii="Arial" w:cs="Arial" w:eastAsia="Arial" w:hAnsi="Arial"/>
                <w:sz w:val="14"/>
                <w:szCs w:val="14"/>
                <w:color w:val="auto"/>
              </w:rPr>
              <w:t>38,495</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28,132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due from related parties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34,514</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12,584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Contract assets</w:t>
            </w:r>
          </w:p>
        </w:tc>
        <w:tc>
          <w:tcPr>
            <w:tcW w:w="860" w:type="dxa"/>
            <w:vAlign w:val="bottom"/>
          </w:tcPr>
          <w:p>
            <w:pPr>
              <w:jc w:val="right"/>
              <w:spacing w:after="0"/>
              <w:rPr>
                <w:sz w:val="20"/>
                <w:szCs w:val="20"/>
                <w:color w:val="auto"/>
              </w:rPr>
            </w:pPr>
            <w:r>
              <w:rPr>
                <w:rFonts w:ascii="Arial" w:cs="Arial" w:eastAsia="Arial" w:hAnsi="Arial"/>
                <w:sz w:val="14"/>
                <w:szCs w:val="14"/>
                <w:color w:val="auto"/>
              </w:rPr>
              <w:t>4,383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2,719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49,658</w:t>
            </w:r>
          </w:p>
        </w:tc>
        <w:tc>
          <w:tcPr>
            <w:tcW w:w="8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57,229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216,681</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190,856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27,291</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897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860" w:type="dxa"/>
            <w:vAlign w:val="bottom"/>
          </w:tcPr>
          <w:p>
            <w:pPr>
              <w:jc w:val="right"/>
              <w:spacing w:after="0"/>
              <w:rPr>
                <w:sz w:val="20"/>
                <w:szCs w:val="20"/>
                <w:color w:val="auto"/>
              </w:rPr>
            </w:pPr>
            <w:r>
              <w:rPr>
                <w:rFonts w:ascii="Arial" w:cs="Arial" w:eastAsia="Arial" w:hAnsi="Arial"/>
                <w:sz w:val="14"/>
                <w:szCs w:val="14"/>
                <w:color w:val="auto"/>
              </w:rPr>
              <w:t>80,689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61,757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8,831</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6,822</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7,570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Operating lease right-of-use assets</w:t>
            </w:r>
          </w:p>
        </w:tc>
        <w:tc>
          <w:tcPr>
            <w:tcW w:w="860" w:type="dxa"/>
            <w:vAlign w:val="bottom"/>
          </w:tcPr>
          <w:p>
            <w:pPr>
              <w:jc w:val="right"/>
              <w:spacing w:after="0"/>
              <w:rPr>
                <w:sz w:val="20"/>
                <w:szCs w:val="20"/>
                <w:color w:val="auto"/>
              </w:rPr>
            </w:pPr>
            <w:r>
              <w:rPr>
                <w:rFonts w:ascii="Arial" w:cs="Arial" w:eastAsia="Arial" w:hAnsi="Arial"/>
                <w:sz w:val="14"/>
                <w:szCs w:val="14"/>
                <w:color w:val="auto"/>
              </w:rPr>
              <w:t>8,619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8,176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596,659</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596,858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85,350</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Amounts due from related parties</w:t>
            </w:r>
          </w:p>
        </w:tc>
        <w:tc>
          <w:tcPr>
            <w:tcW w:w="860" w:type="dxa"/>
            <w:vAlign w:val="bottom"/>
          </w:tcPr>
          <w:p>
            <w:pPr>
              <w:jc w:val="right"/>
              <w:spacing w:after="0"/>
              <w:rPr>
                <w:sz w:val="20"/>
                <w:szCs w:val="20"/>
                <w:color w:val="auto"/>
              </w:rPr>
            </w:pPr>
            <w:r>
              <w:rPr>
                <w:rFonts w:ascii="Arial" w:cs="Arial" w:eastAsia="Arial" w:hAnsi="Arial"/>
                <w:sz w:val="14"/>
                <w:szCs w:val="14"/>
                <w:color w:val="auto"/>
              </w:rPr>
              <w:t>37,839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45,077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6,446</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80" w:type="dxa"/>
            <w:vAlign w:val="bottom"/>
            <w:tcBorders>
              <w:lef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5,527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non-current assets</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737,429</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725,862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103,796</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Arial" w:cs="Arial" w:eastAsia="Arial" w:hAnsi="Arial"/>
                <w:sz w:val="14"/>
                <w:szCs w:val="14"/>
                <w:b w:val="1"/>
                <w:bCs w:val="1"/>
                <w:color w:val="auto"/>
              </w:rPr>
              <w:t>Amounts due from the entities within the Group</w:t>
            </w:r>
          </w:p>
        </w:tc>
        <w:tc>
          <w:tcPr>
            <w:tcW w:w="860" w:type="dxa"/>
            <w:vAlign w:val="bottom"/>
          </w:tcPr>
          <w:p>
            <w:pPr>
              <w:jc w:val="right"/>
              <w:spacing w:after="0"/>
              <w:rPr>
                <w:sz w:val="20"/>
                <w:szCs w:val="20"/>
                <w:color w:val="auto"/>
              </w:rPr>
            </w:pPr>
            <w:r>
              <w:rPr>
                <w:rFonts w:ascii="Arial" w:cs="Arial" w:eastAsia="Arial" w:hAnsi="Arial"/>
                <w:sz w:val="14"/>
                <w:szCs w:val="14"/>
                <w:color w:val="auto"/>
              </w:rPr>
              <w:t>886,611</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910,340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130,177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1,840,721</w:t>
            </w:r>
          </w:p>
        </w:tc>
        <w:tc>
          <w:tcPr>
            <w:tcW w:w="80" w:type="dxa"/>
            <w:vAlign w:val="bottom"/>
            <w:tcBorders>
              <w:lef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1,827,058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261,264</w:t>
            </w:r>
          </w:p>
        </w:tc>
        <w:tc>
          <w:tcPr>
            <w:tcW w:w="0" w:type="dxa"/>
            <w:vAlign w:val="bottom"/>
          </w:tcPr>
          <w:p>
            <w:pPr>
              <w:spacing w:after="0"/>
              <w:rPr>
                <w:sz w:val="1"/>
                <w:szCs w:val="1"/>
                <w:color w:val="auto"/>
              </w:rPr>
            </w:pPr>
          </w:p>
        </w:tc>
      </w:tr>
      <w:tr>
        <w:trPr>
          <w:trHeight w:val="189"/>
        </w:trPr>
        <w:tc>
          <w:tcPr>
            <w:tcW w:w="34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loans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59,969</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76,603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10,954</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860" w:type="dxa"/>
            <w:vAlign w:val="bottom"/>
          </w:tcPr>
          <w:p>
            <w:pPr>
              <w:jc w:val="right"/>
              <w:spacing w:after="0"/>
              <w:rPr>
                <w:sz w:val="20"/>
                <w:szCs w:val="20"/>
                <w:color w:val="auto"/>
              </w:rPr>
            </w:pPr>
            <w:r>
              <w:rPr>
                <w:rFonts w:ascii="Arial" w:cs="Arial" w:eastAsia="Arial" w:hAnsi="Arial"/>
                <w:sz w:val="14"/>
                <w:szCs w:val="14"/>
                <w:color w:val="auto"/>
              </w:rPr>
              <w:t>36,379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42,537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6,083</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 liabilities and customer advance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27,464</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28,870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w:t>
            </w:r>
          </w:p>
        </w:tc>
        <w:tc>
          <w:tcPr>
            <w:tcW w:w="0" w:type="dxa"/>
            <w:vAlign w:val="bottom"/>
          </w:tcPr>
          <w:p>
            <w:pPr>
              <w:spacing w:after="0"/>
              <w:rPr>
                <w:sz w:val="1"/>
                <w:szCs w:val="1"/>
                <w:color w:val="auto"/>
              </w:rPr>
            </w:pPr>
          </w:p>
        </w:tc>
      </w:tr>
      <w:tr>
        <w:trPr>
          <w:trHeight w:val="209"/>
        </w:trPr>
        <w:tc>
          <w:tcPr>
            <w:tcW w:w="3420" w:type="dxa"/>
            <w:vAlign w:val="bottom"/>
          </w:tcPr>
          <w:p>
            <w:pPr>
              <w:ind w:left="140"/>
              <w:spacing w:after="0"/>
              <w:rPr>
                <w:sz w:val="20"/>
                <w:szCs w:val="20"/>
                <w:color w:val="auto"/>
              </w:rPr>
            </w:pPr>
            <w:r>
              <w:rPr>
                <w:rFonts w:ascii="Arial" w:cs="Arial" w:eastAsia="Arial" w:hAnsi="Arial"/>
                <w:sz w:val="14"/>
                <w:szCs w:val="14"/>
                <w:color w:val="auto"/>
              </w:rPr>
              <w:t>Amounts due to related parties</w:t>
            </w:r>
          </w:p>
        </w:tc>
        <w:tc>
          <w:tcPr>
            <w:tcW w:w="860" w:type="dxa"/>
            <w:vAlign w:val="bottom"/>
          </w:tcPr>
          <w:p>
            <w:pPr>
              <w:jc w:val="right"/>
              <w:spacing w:after="0"/>
              <w:rPr>
                <w:sz w:val="20"/>
                <w:szCs w:val="20"/>
                <w:color w:val="auto"/>
              </w:rPr>
            </w:pPr>
            <w:r>
              <w:rPr>
                <w:rFonts w:ascii="Arial" w:cs="Arial" w:eastAsia="Arial" w:hAnsi="Arial"/>
                <w:sz w:val="14"/>
                <w:szCs w:val="14"/>
                <w:color w:val="auto"/>
              </w:rPr>
              <w:t>1,681</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2,004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current portion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2,621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14"/>
        </w:trPr>
        <w:tc>
          <w:tcPr>
            <w:tcW w:w="3420" w:type="dxa"/>
            <w:vAlign w:val="bottom"/>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860" w:type="dxa"/>
            <w:vAlign w:val="bottom"/>
          </w:tcPr>
          <w:p>
            <w:pPr>
              <w:jc w:val="right"/>
              <w:spacing w:after="0"/>
              <w:rPr>
                <w:sz w:val="20"/>
                <w:szCs w:val="20"/>
                <w:color w:val="auto"/>
              </w:rPr>
            </w:pPr>
            <w:r>
              <w:rPr>
                <w:rFonts w:ascii="Arial" w:cs="Arial" w:eastAsia="Arial" w:hAnsi="Arial"/>
                <w:sz w:val="14"/>
                <w:szCs w:val="14"/>
                <w:color w:val="auto"/>
              </w:rPr>
              <w:t>127,682</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141,353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20,213</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255,398</w:t>
            </w:r>
          </w:p>
        </w:tc>
        <w:tc>
          <w:tcPr>
            <w:tcW w:w="80" w:type="dxa"/>
            <w:vAlign w:val="bottom"/>
            <w:tcBorders>
              <w:lef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293,988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42,040</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liabilities:</w:t>
            </w:r>
          </w:p>
        </w:tc>
        <w:tc>
          <w:tcPr>
            <w:tcW w:w="8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280"/>
              <w:spacing w:after="0"/>
              <w:rPr>
                <w:sz w:val="20"/>
                <w:szCs w:val="20"/>
                <w:color w:val="auto"/>
              </w:rPr>
            </w:pPr>
            <w:r>
              <w:rPr>
                <w:rFonts w:ascii="Arial" w:cs="Arial" w:eastAsia="Arial" w:hAnsi="Arial"/>
                <w:sz w:val="14"/>
                <w:szCs w:val="14"/>
                <w:color w:val="auto"/>
              </w:rPr>
              <w:t>Amounts due to related parties, non-current</w:t>
            </w:r>
          </w:p>
        </w:tc>
        <w:tc>
          <w:tcPr>
            <w:tcW w:w="860" w:type="dxa"/>
            <w:vAlign w:val="bottom"/>
          </w:tcPr>
          <w:p>
            <w:pPr>
              <w:jc w:val="right"/>
              <w:spacing w:after="0"/>
              <w:rPr>
                <w:sz w:val="20"/>
                <w:szCs w:val="20"/>
                <w:color w:val="auto"/>
              </w:rPr>
            </w:pPr>
            <w:r>
              <w:rPr>
                <w:rFonts w:ascii="Arial" w:cs="Arial" w:eastAsia="Arial" w:hAnsi="Arial"/>
                <w:sz w:val="14"/>
                <w:szCs w:val="14"/>
                <w:color w:val="auto"/>
              </w:rPr>
              <w:t>149,539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122,644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6,213</w:t>
            </w:r>
          </w:p>
        </w:tc>
        <w:tc>
          <w:tcPr>
            <w:tcW w:w="102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5,019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04"/>
        </w:trPr>
        <w:tc>
          <w:tcPr>
            <w:tcW w:w="3420" w:type="dxa"/>
            <w:vAlign w:val="bottom"/>
          </w:tcPr>
          <w:p>
            <w:pPr>
              <w:ind w:left="280"/>
              <w:spacing w:after="0"/>
              <w:rPr>
                <w:sz w:val="20"/>
                <w:szCs w:val="20"/>
                <w:color w:val="auto"/>
              </w:rPr>
            </w:pPr>
            <w:r>
              <w:rPr>
                <w:rFonts w:ascii="Arial" w:cs="Arial" w:eastAsia="Arial" w:hAnsi="Arial"/>
                <w:sz w:val="14"/>
                <w:szCs w:val="14"/>
                <w:color w:val="auto"/>
              </w:rPr>
              <w:t>Other non-current liabilities</w:t>
            </w:r>
          </w:p>
        </w:tc>
        <w:tc>
          <w:tcPr>
            <w:tcW w:w="860" w:type="dxa"/>
            <w:vAlign w:val="bottom"/>
          </w:tcPr>
          <w:p>
            <w:pPr>
              <w:jc w:val="right"/>
              <w:spacing w:after="0"/>
              <w:rPr>
                <w:sz w:val="20"/>
                <w:szCs w:val="20"/>
                <w:color w:val="auto"/>
              </w:rPr>
            </w:pPr>
            <w:r>
              <w:rPr>
                <w:rFonts w:ascii="Arial" w:cs="Arial" w:eastAsia="Arial" w:hAnsi="Arial"/>
                <w:sz w:val="14"/>
                <w:szCs w:val="14"/>
                <w:color w:val="auto"/>
              </w:rPr>
              <w:t>1,207</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1,207</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non-current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156,959</w:t>
            </w:r>
          </w:p>
        </w:tc>
        <w:tc>
          <w:tcPr>
            <w:tcW w:w="80" w:type="dxa"/>
            <w:vAlign w:val="bottom"/>
            <w:tcBorders>
              <w:lef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128,870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18,429</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due to the entities within the Group</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845,444</w:t>
            </w:r>
          </w:p>
        </w:tc>
        <w:tc>
          <w:tcPr>
            <w:tcW w:w="8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836,033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119,551</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Total liabilities</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1,257,801</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1,258,891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180,020</w:t>
            </w:r>
          </w:p>
        </w:tc>
        <w:tc>
          <w:tcPr>
            <w:tcW w:w="0" w:type="dxa"/>
            <w:vAlign w:val="bottom"/>
          </w:tcPr>
          <w:p>
            <w:pPr>
              <w:spacing w:after="0"/>
              <w:rPr>
                <w:sz w:val="1"/>
                <w:szCs w:val="1"/>
                <w:color w:val="auto"/>
              </w:rPr>
            </w:pPr>
          </w:p>
        </w:tc>
      </w:tr>
      <w:tr>
        <w:trPr>
          <w:trHeight w:val="283"/>
        </w:trPr>
        <w:tc>
          <w:tcPr>
            <w:tcW w:w="3420" w:type="dxa"/>
            <w:vAlign w:val="bottom"/>
            <w:tcBorders>
              <w:bottom w:val="single" w:sz="8" w:color="auto"/>
            </w:tcBorders>
          </w:tcPr>
          <w:p>
            <w:pPr>
              <w:ind w:left="2960"/>
              <w:spacing w:after="0"/>
              <w:rPr>
                <w:sz w:val="20"/>
                <w:szCs w:val="20"/>
                <w:color w:val="auto"/>
              </w:rPr>
            </w:pPr>
            <w:r>
              <w:rPr>
                <w:rFonts w:ascii="Arial" w:cs="Arial" w:eastAsia="Arial" w:hAnsi="Arial"/>
                <w:sz w:val="14"/>
                <w:szCs w:val="14"/>
                <w:color w:val="auto"/>
              </w:rPr>
              <w:t>F-18</w:t>
            </w:r>
          </w:p>
        </w:tc>
        <w:tc>
          <w:tcPr>
            <w:tcW w:w="8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16" w:name="page317"/>
    <w:bookmarkEnd w:id="31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 ORGANIZATION (cont.)</w:t>
      </w:r>
    </w:p>
    <w:p>
      <w:pPr>
        <w:spacing w:after="0" w:line="130"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table sets forth the results of operations and cash flows of the VIEs and VIEs’ subsidiaries included in the Company’s combined and consolidated statements of comprehensive loss and cash flows.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8"/>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98"/>
        </w:trPr>
        <w:tc>
          <w:tcPr>
            <w:tcW w:w="2980" w:type="dxa"/>
            <w:vAlign w:val="bottom"/>
          </w:tcPr>
          <w:p>
            <w:pPr>
              <w:spacing w:after="0"/>
              <w:rPr>
                <w:sz w:val="17"/>
                <w:szCs w:val="17"/>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7"/>
                <w:szCs w:val="17"/>
                <w:color w:val="auto"/>
              </w:rPr>
            </w:pPr>
          </w:p>
        </w:tc>
      </w:tr>
      <w:tr>
        <w:trPr>
          <w:trHeight w:val="202"/>
        </w:trPr>
        <w:tc>
          <w:tcPr>
            <w:tcW w:w="29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8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US$</w:t>
            </w: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(including revenues from related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parties and the entities within the Group of</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RMB62,711, RMB70,421 and RMB52,614</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(US$7,524) for the years ended</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December 31, 2023, 2024 and 2025,</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5"/>
        </w:trPr>
        <w:tc>
          <w:tcPr>
            <w:tcW w:w="2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342,500</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399,195</w:t>
            </w: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404,768</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57,882</w:t>
            </w:r>
          </w:p>
        </w:tc>
      </w:tr>
      <w:tr>
        <w:trPr>
          <w:trHeight w:val="137"/>
        </w:trPr>
        <w:tc>
          <w:tcPr>
            <w:tcW w:w="2980" w:type="dxa"/>
            <w:vAlign w:val="bottom"/>
          </w:tcPr>
          <w:p>
            <w:pPr>
              <w:spacing w:after="0" w:line="137" w:lineRule="exact"/>
              <w:rPr>
                <w:sz w:val="20"/>
                <w:szCs w:val="20"/>
                <w:color w:val="auto"/>
              </w:rPr>
            </w:pPr>
            <w:r>
              <w:rPr>
                <w:rFonts w:ascii="Arial" w:cs="Arial" w:eastAsia="Arial" w:hAnsi="Arial"/>
                <w:sz w:val="14"/>
                <w:szCs w:val="14"/>
                <w:color w:val="auto"/>
              </w:rPr>
              <w:t>Total costs of revenues and operating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1"/>
        </w:trPr>
        <w:tc>
          <w:tcPr>
            <w:tcW w:w="2980" w:type="dxa"/>
            <w:vAlign w:val="bottom"/>
          </w:tcPr>
          <w:p>
            <w:pPr>
              <w:ind w:left="140"/>
              <w:spacing w:after="0"/>
              <w:rPr>
                <w:sz w:val="20"/>
                <w:szCs w:val="20"/>
                <w:color w:val="auto"/>
              </w:rPr>
            </w:pPr>
            <w:r>
              <w:rPr>
                <w:rFonts w:ascii="Arial" w:cs="Arial" w:eastAsia="Arial" w:hAnsi="Arial"/>
                <w:sz w:val="14"/>
                <w:szCs w:val="14"/>
                <w:color w:val="auto"/>
              </w:rPr>
              <w:t>expenses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(372,098)</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(395,664)</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(430,700)</w:t>
            </w:r>
          </w:p>
        </w:tc>
        <w:tc>
          <w:tcPr>
            <w:tcW w:w="1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(61,589)</w:t>
            </w:r>
          </w:p>
        </w:tc>
      </w:tr>
      <w:tr>
        <w:trPr>
          <w:trHeight w:val="20"/>
        </w:trPr>
        <w:tc>
          <w:tcPr>
            <w:tcW w:w="2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Net profit (loss)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(30,754)</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3,990</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(25,475)</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(3,643)</w:t>
            </w:r>
          </w:p>
        </w:tc>
      </w:tr>
      <w:tr>
        <w:trPr>
          <w:trHeight w:val="20"/>
        </w:trPr>
        <w:tc>
          <w:tcPr>
            <w:tcW w:w="29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341"/>
        </w:trPr>
        <w:tc>
          <w:tcPr>
            <w:tcW w:w="29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8"/>
        </w:trPr>
        <w:tc>
          <w:tcPr>
            <w:tcW w:w="2980" w:type="dxa"/>
            <w:vAlign w:val="bottom"/>
          </w:tcPr>
          <w:p>
            <w:pPr>
              <w:spacing w:after="0"/>
              <w:rPr>
                <w:sz w:val="18"/>
                <w:szCs w:val="18"/>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8"/>
        </w:trPr>
        <w:tc>
          <w:tcPr>
            <w:tcW w:w="29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8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US$</w:t>
            </w: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(17,365)</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(9,439)</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(1,483)</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w:t>
            </w:r>
          </w:p>
        </w:tc>
      </w:tr>
      <w:tr>
        <w:trPr>
          <w:trHeight w:val="209"/>
        </w:trPr>
        <w:tc>
          <w:tcPr>
            <w:tcW w:w="29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(77,689)</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(73,758)</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(37,459)</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(5,357)</w:t>
            </w: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76,763</w:t>
            </w:r>
          </w:p>
        </w:tc>
        <w:tc>
          <w:tcPr>
            <w:tcW w:w="8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150,464</w:t>
            </w:r>
          </w:p>
        </w:tc>
        <w:tc>
          <w:tcPr>
            <w:tcW w:w="8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25,773</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3,685</w:t>
            </w:r>
          </w:p>
        </w:tc>
      </w:tr>
    </w:tbl>
    <w:p>
      <w:pPr>
        <w:spacing w:after="0" w:line="11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carrying amounts of the assets, liabilities, results of operations and cash flows of the VIEs and their subsidiaries are presented in aggregate due to the similarity of the purpose and design of the VIEs and their subsidiaries, the nature of the assets in these VIEs and their subsidiaries and the type of the involvement of the Company in these VIEs and their subsidiaries.</w:t>
      </w:r>
    </w:p>
    <w:p>
      <w:pPr>
        <w:spacing w:after="0" w:line="7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None of the VIEs’ assets are pledged or collateralized for the VIE’s obligations and which can only be used to settle the VIE’s obligations as of December 31, 2024 and 2025. The amount of the net assets of the VIEs was RMB582,920 and RMB568,167 (US$81,244) as of December 31, 2024 and 2025, respectively. The VIEs’ third-party creditors did not have recourse to the general credit of the Company in the normal course of business. The Company did not provide or intend to provide financial or other support not previously contractually required to the VIEs and VIEs’ subsidiaries during the years presented.</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As disclosed in Note 1(b), the Group completed its Restructuring in June 2023 in order to establish the Company as the parent company of the Listing Businesses. The Restructuring was accounted for under common ownership. Standalone financial statements have not been historically prepared for the Company’s Listing Businesses. Prior to the completion of the Restructuring, there was no controlling financial interest present between or among the entities that comprise the Company’s Listing Businesses and the Group prepared its financial statements on a combined basis including the financial statements of the Company, its subsidiaries, the VIEs and the VIEs’ subsidiaries for which the Company is the primary beneficiary. The combined financial statements of the Company prior to the Restructuring were derived from the accounting records of the Predecessor as if the Company had operated on its own. Upon the completion of the Restructuring, the Company became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7" w:name="page318"/>
    <w:bookmarkEnd w:id="31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spacing w:after="0" w:line="245" w:lineRule="auto"/>
        <w:rPr>
          <w:sz w:val="20"/>
          <w:szCs w:val="20"/>
          <w:color w:val="auto"/>
        </w:rPr>
      </w:pPr>
      <w:r>
        <w:rPr>
          <w:rFonts w:ascii="Arial" w:cs="Arial" w:eastAsia="Arial" w:hAnsi="Arial"/>
          <w:sz w:val="14"/>
          <w:szCs w:val="14"/>
          <w:color w:val="auto"/>
        </w:rPr>
        <w:t>the controlling entity and the Group prepared its financial statements on a consolidated basis, which is consistent with the preparation of the Company’s combined financial statements. All significant intercompany balances and transactions within the combined or consolidated businesses of the Company have been eliminated.</w:t>
      </w:r>
    </w:p>
    <w:p>
      <w:pPr>
        <w:spacing w:after="0" w:line="7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of December 31, 2025, the Group had cash and cash equivalents, restricted cash and short-term investments of RMB211,739 (US$30,278) and net working capital of RMB173,983 (US$24,879). The Group incurred net losses for all periods presented and had an accumulated deficit of RMB15,828,914 (US$2,263,505) as of December 31, 2025. The Group recorded cash outflows from operations of RMB90,370 (US$12,926) for the year ended December 31, 2025. The preferred shareholders have the option to request the Company to redeem the preferred shares at any time after December 31, 2026. The aggregate redemption amount of all preferred shares was RMB16,538,315 (US$2,364,948) as of December 31, 2025. Such redemption obligations raised substantial doubt about the Company’s ability to continue as a going concern.</w:t>
      </w:r>
    </w:p>
    <w:p>
      <w:pPr>
        <w:spacing w:after="0" w:line="74"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preferred shares will automatically be converted into ordinary shares at the then applicable conversion price upon the closing of a qualified initial public offering, and such conversion would extinguish the Group’s redemption obligations towards the preferred shareholders, and consequently remove the substantial doubt about the Company’s ability to continue as a going concern. Additionally, the Group has reduced its operating losses over the recent three years as disclosed herein, and expects to further reduce its operating losses in the foreseeable future. The Group would also consider additional funding, be it equity financing or bank borrowings, for future operations if such a need arises. Further, the Group intends to obtain agreements with the existing preferred shareholders to extend the redemption date of the preferred shares should the Group fail to complete a qualified initial public offering prior to the applicable redemption date. All of these management plans described herein contain inherent uncertainties and may not be achieved when needed and/or as needed. The combined and consolidated financial statements do not include any adjustments that may be necessary if the Group were unable to continue as a going concern.</w:t>
      </w:r>
    </w:p>
    <w:p>
      <w:pPr>
        <w:spacing w:after="0" w:line="14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preparation of combined and consolidated financial statements and related disclosures in conformity with U.S. GAAP requires management to make judgments, assumptions and estimates that affect the amounts reported in its financial statements and accompanying notes. Significant estimates reflected in the Company’s combined and consolidated financial statements include, but are not limited to, the allowance for credit losses of accounts receivable and contract assets, valuation of goodwill and acquired intangible assets, useful lives and projected undiscounted cash flow of long-lived assets, fair value of redeemable convertible preferred shares and share-based payment awards, valuation allowance for deferred tax assets, income tax uncertainties and incremental borrowing rates for operating lease liabilities. Management bases its estimates on historical experience and various other factors believed to be reasonable under the circumstances, the results of which form the basis for making judgments about the carrying value of assets and liabilities. Actual results could materially differ from those estimates.</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functional currency of the Company and its BVI and Hong Kong subsidiaries is the United States dollar (“US$”), whereas the functional currency of the Company’s PRC subsidiaries, VIEs and VIEs’ subsidiaries is the Renminbi (“RMB”). The reporting currency of the Group is the RMB.</w:t>
      </w:r>
    </w:p>
    <w:p>
      <w:pPr>
        <w:spacing w:after="0" w:line="264"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8" w:name="page319"/>
    <w:bookmarkEnd w:id="31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Transactions denominated in foreign currencies are remeasured into the functional currency at the prevailing exchange rates on the transaction dates. Monetary assets and liabilities denominated in foreign currencies are remeasured at the prevailing exchange rates as of each balance sheet date. Non-monetary items that are measured in terms of historical cost in foreign currency are remeasured using the exchange rates at the dates of the initial transactions. Exchange gains and losses are included in the combined and consolidated statements of comprehensive loss.</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translates results of operations and financial position using the average exchange rate for the year and the exchange rate at the balance sheet dates respectively. Translation differences are recorded in other comprehensive loss in the combined and consolidated statements of comprehensive loss.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Convenience translation</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Amounts in U.S. dollars are presented for the convenience of the reader and are translated at the noon buying rate of RMB6.9931 per US$1.00 on December 31, 2025 as published on the website of the Board of Governors of the Federal Reserve System. No representation is made that the RMB amounts could have been, or could be, converted into US$ at such rate.</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Cash and cash equivalents consist of cash on hand and time deposits placed with commercial banks with original maturities of three months or less, which are unrestricted as to withdrawal or use.</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Restricted cash primarily consists of cash reserved in bank accounts relating to certain litigation matters. Restricted cash is expected to be released to cash within the next 12 months and therefore, classified as a current asset.</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Short-term investments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Short-term investments mainly consist of time deposits with original maturities greater than three months but less than twelve months and investments in wealth management products that the Group has the intention to redeem within one year.</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 xml:space="preserve">The Group classifies and accounts for investments in debt securities as “held-to-maturity,” “trading” or “available-for-sale,” whose classification determines the respective accounting methods stipulated by ASC Topic 320, </w:t>
      </w:r>
      <w:r>
        <w:rPr>
          <w:rFonts w:ascii="Arial" w:cs="Arial" w:eastAsia="Arial" w:hAnsi="Arial"/>
          <w:sz w:val="14"/>
          <w:szCs w:val="14"/>
          <w:i w:val="1"/>
          <w:iCs w:val="1"/>
          <w:color w:val="auto"/>
        </w:rPr>
        <w:t>Investments-Debt Securities</w:t>
      </w:r>
      <w:r>
        <w:rPr>
          <w:rFonts w:ascii="Arial" w:cs="Arial" w:eastAsia="Arial" w:hAnsi="Arial"/>
          <w:sz w:val="14"/>
          <w:szCs w:val="14"/>
          <w:color w:val="auto"/>
        </w:rPr>
        <w:t xml:space="preserve"> (“ASC 320”). Interest income, including amortization of the premium and discount arising at acquisition, for all categories of investments in securities are included in earnings.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Accounts receivable and contract assets, net</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Accounts receivable are recorded at the original invoiced amount less an allowance for credit losses. The Group’s conditional right to consideration in exchange for goods or services transferred to a customer is recorded as contract assets, which are then recognized as accounts receivable when the right to consideration becomes unconditional.</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19" w:name="page320"/>
    <w:bookmarkEnd w:id="31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 xml:space="preserve">The Group records an allowance for credit losses in accordance with ASC Topic 326, </w:t>
      </w:r>
      <w:r>
        <w:rPr>
          <w:rFonts w:ascii="Arial" w:cs="Arial" w:eastAsia="Arial" w:hAnsi="Arial"/>
          <w:sz w:val="14"/>
          <w:szCs w:val="14"/>
          <w:i w:val="1"/>
          <w:iCs w:val="1"/>
          <w:color w:val="auto"/>
        </w:rPr>
        <w:t>Credit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Losses </w:t>
      </w:r>
      <w:r>
        <w:rPr>
          <w:rFonts w:ascii="Arial" w:cs="Arial" w:eastAsia="Arial" w:hAnsi="Arial"/>
          <w:sz w:val="14"/>
          <w:szCs w:val="14"/>
          <w:color w:val="auto"/>
        </w:rPr>
        <w:t>(“ASC 326”) as an offset to accounts receivable and contract assets, with the estimated credit</w:t>
      </w:r>
      <w:r>
        <w:rPr>
          <w:rFonts w:ascii="Arial" w:cs="Arial" w:eastAsia="Arial" w:hAnsi="Arial"/>
          <w:sz w:val="14"/>
          <w:szCs w:val="14"/>
          <w:i w:val="1"/>
          <w:iCs w:val="1"/>
          <w:color w:val="auto"/>
        </w:rPr>
        <w:t xml:space="preserve"> </w:t>
      </w:r>
      <w:r>
        <w:rPr>
          <w:rFonts w:ascii="Arial" w:cs="Arial" w:eastAsia="Arial" w:hAnsi="Arial"/>
          <w:sz w:val="14"/>
          <w:szCs w:val="14"/>
          <w:color w:val="auto"/>
        </w:rPr>
        <w:t>losses charged to “General and administrative expense” in the combined and consolidated statements of comprehensive loss. The Group assesses credit loss by reviewing accounts receivable and contract assets on a collective basis where similar characteristics exist, primarily based on similar business, services or product offerings and on an individual basis when the Group identifies specific customers with known disputes or collectability issues. The Group also considers historical collectability based on past due status, the age of the accounts receivable balances and contract assets balances, credit quality of the Group’s customers based on ongoing credit evaluations, current economic conditions, reasonable and supportable forecasts of future economic conditions. The Group writes off accounts receivable and contract assets when they are determined to be uncollectible and all collection efforts have ceased.</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Fixed assets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Fixed assets are stated at cost less accumulated depreciation and any recorded impairment, if any. Repair and maintenance costs are charged to expense as incurred, whereas the cost of renewals and betterments that extend the useful lives of fixed assets are capitalized as additions to the related assets. Depreciation is computed using the straight-line method over the estimated useful lives as follows:</w:t>
      </w:r>
    </w:p>
    <w:p>
      <w:pPr>
        <w:spacing w:after="0" w:line="111"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Arial" w:cs="Arial" w:eastAsia="Arial" w:hAnsi="Arial"/>
                <w:sz w:val="11"/>
                <w:szCs w:val="11"/>
                <w:b w:val="1"/>
                <w:bCs w:val="1"/>
                <w:color w:val="auto"/>
                <w:w w:val="98"/>
              </w:rPr>
              <w:t>Estimated</w:t>
            </w:r>
          </w:p>
        </w:tc>
      </w:tr>
      <w:tr>
        <w:trPr>
          <w:trHeight w:val="160"/>
        </w:trPr>
        <w:tc>
          <w:tcPr>
            <w:tcW w:w="442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Useful Life</w:t>
            </w:r>
          </w:p>
        </w:tc>
      </w:tr>
      <w:tr>
        <w:trPr>
          <w:trHeight w:val="204"/>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Computer and electronic equipment</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 5 years</w:t>
            </w:r>
          </w:p>
        </w:tc>
      </w:tr>
      <w:tr>
        <w:trPr>
          <w:trHeight w:val="209"/>
        </w:trPr>
        <w:tc>
          <w:tcPr>
            <w:tcW w:w="4420" w:type="dxa"/>
            <w:vAlign w:val="bottom"/>
          </w:tcPr>
          <w:p>
            <w:pPr>
              <w:spacing w:after="0"/>
              <w:rPr>
                <w:sz w:val="20"/>
                <w:szCs w:val="20"/>
                <w:color w:val="auto"/>
              </w:rPr>
            </w:pPr>
            <w:r>
              <w:rPr>
                <w:rFonts w:ascii="Arial" w:cs="Arial" w:eastAsia="Arial" w:hAnsi="Arial"/>
                <w:sz w:val="14"/>
                <w:szCs w:val="14"/>
                <w:color w:val="auto"/>
              </w:rPr>
              <w:t>Office equipment</w:t>
            </w:r>
          </w:p>
        </w:tc>
        <w:tc>
          <w:tcPr>
            <w:tcW w:w="1800" w:type="dxa"/>
            <w:vAlign w:val="bottom"/>
          </w:tcPr>
          <w:p>
            <w:pPr>
              <w:jc w:val="center"/>
              <w:spacing w:after="0"/>
              <w:rPr>
                <w:sz w:val="20"/>
                <w:szCs w:val="20"/>
                <w:color w:val="auto"/>
              </w:rPr>
            </w:pPr>
            <w:r>
              <w:rPr>
                <w:rFonts w:ascii="Arial" w:cs="Arial" w:eastAsia="Arial" w:hAnsi="Arial"/>
                <w:sz w:val="14"/>
                <w:szCs w:val="14"/>
                <w:color w:val="auto"/>
                <w:w w:val="98"/>
              </w:rPr>
              <w:t>3 – 5 years</w:t>
            </w:r>
          </w:p>
        </w:tc>
      </w:tr>
      <w:tr>
        <w:trPr>
          <w:trHeight w:val="227"/>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Motor vehicles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 5 years</w:t>
            </w:r>
          </w:p>
        </w:tc>
      </w:tr>
      <w:tr>
        <w:trPr>
          <w:trHeight w:val="137"/>
        </w:trPr>
        <w:tc>
          <w:tcPr>
            <w:tcW w:w="4420" w:type="dxa"/>
            <w:vAlign w:val="bottom"/>
          </w:tcPr>
          <w:p>
            <w:pPr>
              <w:spacing w:after="0" w:line="137" w:lineRule="exact"/>
              <w:rPr>
                <w:sz w:val="20"/>
                <w:szCs w:val="20"/>
                <w:color w:val="auto"/>
              </w:rPr>
            </w:pPr>
            <w:r>
              <w:rPr>
                <w:rFonts w:ascii="Arial" w:cs="Arial" w:eastAsia="Arial" w:hAnsi="Arial"/>
                <w:sz w:val="14"/>
                <w:szCs w:val="14"/>
                <w:color w:val="auto"/>
              </w:rPr>
              <w:t>Leasehold improvements</w:t>
            </w:r>
          </w:p>
        </w:tc>
        <w:tc>
          <w:tcPr>
            <w:tcW w:w="1800" w:type="dxa"/>
            <w:vAlign w:val="bottom"/>
          </w:tcPr>
          <w:p>
            <w:pPr>
              <w:jc w:val="center"/>
              <w:spacing w:after="0" w:line="137" w:lineRule="exact"/>
              <w:rPr>
                <w:sz w:val="20"/>
                <w:szCs w:val="20"/>
                <w:color w:val="auto"/>
              </w:rPr>
            </w:pPr>
            <w:r>
              <w:rPr>
                <w:rFonts w:ascii="Arial" w:cs="Arial" w:eastAsia="Arial" w:hAnsi="Arial"/>
                <w:sz w:val="14"/>
                <w:szCs w:val="14"/>
                <w:color w:val="auto"/>
                <w:w w:val="98"/>
              </w:rPr>
              <w:t>Over the shorter of the</w:t>
            </w:r>
          </w:p>
        </w:tc>
      </w:tr>
      <w:tr>
        <w:trPr>
          <w:trHeight w:val="156"/>
        </w:trPr>
        <w:tc>
          <w:tcPr>
            <w:tcW w:w="4420" w:type="dxa"/>
            <w:vAlign w:val="bottom"/>
          </w:tcPr>
          <w:p>
            <w:pPr>
              <w:spacing w:after="0"/>
              <w:rPr>
                <w:sz w:val="13"/>
                <w:szCs w:val="13"/>
                <w:color w:val="auto"/>
              </w:rPr>
            </w:pPr>
          </w:p>
        </w:tc>
        <w:tc>
          <w:tcPr>
            <w:tcW w:w="1800" w:type="dxa"/>
            <w:vAlign w:val="bottom"/>
          </w:tcPr>
          <w:p>
            <w:pPr>
              <w:jc w:val="center"/>
              <w:spacing w:after="0" w:line="156" w:lineRule="exact"/>
              <w:rPr>
                <w:sz w:val="20"/>
                <w:szCs w:val="20"/>
                <w:color w:val="auto"/>
              </w:rPr>
            </w:pPr>
            <w:r>
              <w:rPr>
                <w:rFonts w:ascii="Arial" w:cs="Arial" w:eastAsia="Arial" w:hAnsi="Arial"/>
                <w:sz w:val="14"/>
                <w:szCs w:val="14"/>
                <w:color w:val="auto"/>
                <w:w w:val="98"/>
              </w:rPr>
              <w:t>expected life of leasehold</w:t>
            </w:r>
          </w:p>
        </w:tc>
      </w:tr>
      <w:tr>
        <w:trPr>
          <w:trHeight w:val="156"/>
        </w:trPr>
        <w:tc>
          <w:tcPr>
            <w:tcW w:w="4420" w:type="dxa"/>
            <w:vAlign w:val="bottom"/>
          </w:tcPr>
          <w:p>
            <w:pPr>
              <w:spacing w:after="0"/>
              <w:rPr>
                <w:sz w:val="13"/>
                <w:szCs w:val="13"/>
                <w:color w:val="auto"/>
              </w:rPr>
            </w:pPr>
          </w:p>
        </w:tc>
        <w:tc>
          <w:tcPr>
            <w:tcW w:w="1800" w:type="dxa"/>
            <w:vAlign w:val="bottom"/>
          </w:tcPr>
          <w:p>
            <w:pPr>
              <w:jc w:val="center"/>
              <w:spacing w:after="0" w:line="156" w:lineRule="exact"/>
              <w:rPr>
                <w:sz w:val="20"/>
                <w:szCs w:val="20"/>
                <w:color w:val="auto"/>
              </w:rPr>
            </w:pPr>
            <w:r>
              <w:rPr>
                <w:rFonts w:ascii="Arial" w:cs="Arial" w:eastAsia="Arial" w:hAnsi="Arial"/>
                <w:sz w:val="14"/>
                <w:szCs w:val="14"/>
                <w:color w:val="auto"/>
                <w:w w:val="99"/>
              </w:rPr>
              <w:t>improvements or the lease</w:t>
            </w:r>
          </w:p>
        </w:tc>
      </w:tr>
      <w:tr>
        <w:trPr>
          <w:trHeight w:val="187"/>
        </w:trPr>
        <w:tc>
          <w:tcPr>
            <w:tcW w:w="44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9"/>
              </w:rPr>
              <w:t>term</w:t>
            </w:r>
          </w:p>
        </w:tc>
      </w:tr>
    </w:tbl>
    <w:p>
      <w:pPr>
        <w:spacing w:after="0" w:line="16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07"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Acquired intangible assets are carried at cost, less accumulated amortization and impairment, if any. Intangible assets with finite lives are amortized using the straight-line method over the estimated useful lives of the assets.</w:t>
      </w:r>
    </w:p>
    <w:p>
      <w:pPr>
        <w:spacing w:after="0" w:line="7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estimated useful lives of intangible assets are as follows:</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8"/>
              </w:rPr>
              <w:t>Estimated</w:t>
            </w:r>
          </w:p>
        </w:tc>
      </w:tr>
      <w:tr>
        <w:trPr>
          <w:trHeight w:val="160"/>
        </w:trPr>
        <w:tc>
          <w:tcPr>
            <w:tcW w:w="52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Useful Life</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Customer relationships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 5 years</w:t>
            </w:r>
          </w:p>
        </w:tc>
      </w:tr>
      <w:tr>
        <w:trPr>
          <w:trHeight w:val="209"/>
        </w:trPr>
        <w:tc>
          <w:tcPr>
            <w:tcW w:w="5260" w:type="dxa"/>
            <w:vAlign w:val="bottom"/>
          </w:tcPr>
          <w:p>
            <w:pPr>
              <w:spacing w:after="0"/>
              <w:rPr>
                <w:sz w:val="20"/>
                <w:szCs w:val="20"/>
                <w:color w:val="auto"/>
              </w:rPr>
            </w:pPr>
            <w:r>
              <w:rPr>
                <w:rFonts w:ascii="Arial" w:cs="Arial" w:eastAsia="Arial" w:hAnsi="Arial"/>
                <w:sz w:val="14"/>
                <w:szCs w:val="14"/>
                <w:color w:val="auto"/>
              </w:rPr>
              <w:t>Software</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3 – 5 years</w:t>
            </w:r>
          </w:p>
        </w:tc>
      </w:tr>
      <w:tr>
        <w:trPr>
          <w:trHeight w:val="227"/>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Brands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 years</w:t>
            </w:r>
          </w:p>
        </w:tc>
      </w:tr>
    </w:tbl>
    <w:p>
      <w:pPr>
        <w:spacing w:after="0" w:line="149"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Impairment of long-lived assets other than goodwill</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evaluates long-lived assets, including fixed assets and intangible assets with finite lives, for impairment whenever events or changes in circumstances indicate that the carrying amount of an asset or a long-lived asset group may not be recoverable. When these events occur, the Group assesses the recoverability of these assets (asset group) by determining whether or not</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0" w:name="page321"/>
    <w:bookmarkEnd w:id="32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spacing w:after="0" w:line="239" w:lineRule="auto"/>
        <w:rPr>
          <w:sz w:val="20"/>
          <w:szCs w:val="20"/>
          <w:color w:val="auto"/>
        </w:rPr>
      </w:pPr>
      <w:r>
        <w:rPr>
          <w:rFonts w:ascii="Arial" w:cs="Arial" w:eastAsia="Arial" w:hAnsi="Arial"/>
          <w:sz w:val="14"/>
          <w:szCs w:val="14"/>
          <w:color w:val="auto"/>
        </w:rPr>
        <w:t>the carrying amount of the assets (asset group) will be recovered through the undiscounted future cash flows expected to be generated from their use and eventual disposition. If the sum of the expected undiscounted cash flow is less than the carrying amount of the asset (asset group), the Group recognizes an impairment loss based on the excess of the carrying amount of the asset (asset group) over their fair value. There was no impairment loss recognized for intangible assets or other long-lived assets for all periods presented.</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Goodwill</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Goodwill represents the excess of the purchase price over the fair value of the identifiable net assets acquired in a business combination. The amount of goodwill allocated to the disposed business is determined based on the relative fair value of the disposed business compared to the reporting unit to which the goodwill was assigned and is included in the carrying amount of the business disposed. The Group assesses goodwill for impairment at the reporting unit level at least annually and more frequently upon the occurrence of certain events or circumstances that indicate the carrying value may not be recoverable.</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The Group has the option to assess qualitative factors first to determine whether it is necessary to perform the quantitative test in accordance with ASC 350-20, </w:t>
      </w:r>
      <w:r>
        <w:rPr>
          <w:rFonts w:ascii="Arial" w:cs="Arial" w:eastAsia="Arial" w:hAnsi="Arial"/>
          <w:sz w:val="14"/>
          <w:szCs w:val="14"/>
          <w:i w:val="1"/>
          <w:iCs w:val="1"/>
          <w:color w:val="auto"/>
        </w:rPr>
        <w:t>Intangibles — Goodwill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Goodwill </w:t>
      </w:r>
      <w:r>
        <w:rPr>
          <w:rFonts w:ascii="Arial" w:cs="Arial" w:eastAsia="Arial" w:hAnsi="Arial"/>
          <w:sz w:val="14"/>
          <w:szCs w:val="14"/>
          <w:color w:val="auto"/>
        </w:rPr>
        <w:t>(“ASC 350-20”). In the qualitative assessment, the Group considers primary factors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industry and market considerations, overall financial performance of the reporting unit, and other specific information related to the operations. If the Group believes, as a result of the qualitative assessment, that it is more-likely-than-not that the fair value of the reporting unit is less than its carrying amount, the Group performs quantitative impairment test by comparing the fair value of the reporting unit with its carrying amount, including goodwill. If the carrying amount of a reporting unit exceeds its fair value, the Group records an impairment loss equal to that excess.</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elected to bypass the qualitative assessment and proceeded directly to perform the quantitative test at each reporting unit level for the years ended December 31, 2024 and 2025, with the assistance of an independent third-party valuation firm. The Group estimated fair value using the income approach. No impairment was recorded for all periods presented.</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Long-term investments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Group’s long-term investments consist of equity method investments and equity investments without readily determinable fair value.</w:t>
      </w:r>
    </w:p>
    <w:p>
      <w:pPr>
        <w:spacing w:after="0" w:line="51"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The Group accounts for equity investments in entities in which it can exercise significant influence but does not own a majority equity interest nor control as equity method investments in accordance with ASC Topic 323, </w:t>
      </w:r>
      <w:r>
        <w:rPr>
          <w:rFonts w:ascii="Arial" w:cs="Arial" w:eastAsia="Arial" w:hAnsi="Arial"/>
          <w:sz w:val="14"/>
          <w:szCs w:val="14"/>
          <w:i w:val="1"/>
          <w:iCs w:val="1"/>
          <w:color w:val="auto"/>
        </w:rPr>
        <w:t>Investments-Equity Method and Joint Ventures</w:t>
      </w:r>
      <w:r>
        <w:rPr>
          <w:rFonts w:ascii="Arial" w:cs="Arial" w:eastAsia="Arial" w:hAnsi="Arial"/>
          <w:sz w:val="14"/>
          <w:szCs w:val="14"/>
          <w:color w:val="auto"/>
        </w:rPr>
        <w:t xml:space="preserve"> (“ASC 323”). Under the equity method, the Company initially records its investment at cost and subsequently adjusts the carrying amount of its investments to recognize the Group’s share of earnings or losses of these entities, dividends received and other-than-temporary impairment. An impairment loss on the equity method investments is recognized in earnings when the decline in value is determined to be other-than-temporary.</w:t>
      </w:r>
    </w:p>
    <w:p>
      <w:pPr>
        <w:spacing w:after="0" w:line="8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 xml:space="preserve">The Group accounts for equity investments without readily determinable fair values and do not qualify for the practical expedient in ASC Topic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(“ASC 820”) (“NAV practical expedient”) using the measurement alternative to measure such investments at cost less any impairment and subsequently adjusted by observable price changes in orderly transactions for the identical or a similar investment of the same issuer.</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29" w:right="1440" w:bottom="1440" w:gutter="0" w:footer="0" w:header="0"/>
        </w:sectPr>
      </w:pPr>
    </w:p>
    <w:bookmarkStart w:id="321" w:name="page322"/>
    <w:bookmarkEnd w:id="32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96"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Fair value accounting is applied for all financial assets and liabilities and non-financial assets and liabilities that are recognized or disclosed at fair value in the combined and consolidated financial statements on a recurring basis (at least annually) in accordance with ASC 820. ASC 820 established a fair value hierarchy for instruments measured at fair value that distinguishes between assumptions based on market data (observable inputs) and the Group’s own assumptions (unobservable inputs). Observable inputs are inputs that market participants would use in pricing the asset or liability based on market data obtained from independent sources. Unobservable inputs are inputs that reflect the Group’s assumptions about the inputs that market participants would use in pricing the assets or liability and are developed based on the best information available in the circumstances.</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at the measurement date. The Group uses a three-tiered fair value hierarchy, which prioritizes the inputs used in the valuation methodologies in measuring fair value:</w:t>
      </w:r>
    </w:p>
    <w:p>
      <w:pPr>
        <w:spacing w:after="0" w:line="100" w:lineRule="exact"/>
        <w:rPr>
          <w:sz w:val="20"/>
          <w:szCs w:val="20"/>
          <w:color w:val="auto"/>
        </w:rPr>
      </w:pPr>
    </w:p>
    <w:p>
      <w:pPr>
        <w:ind w:left="2440" w:right="1398" w:hanging="701"/>
        <w:spacing w:after="0" w:line="271" w:lineRule="auto"/>
        <w:rPr>
          <w:sz w:val="20"/>
          <w:szCs w:val="20"/>
          <w:color w:val="auto"/>
        </w:rPr>
      </w:pPr>
      <w:r>
        <w:rPr>
          <w:rFonts w:ascii="Arial" w:cs="Arial" w:eastAsia="Arial" w:hAnsi="Arial"/>
          <w:sz w:val="14"/>
          <w:szCs w:val="14"/>
          <w:color w:val="auto"/>
        </w:rPr>
        <w:t>Level 1 — Observable inputs such as unadjusted, quoted prices in active markets for identical assets or liabilities</w:t>
      </w:r>
    </w:p>
    <w:p>
      <w:pPr>
        <w:spacing w:after="0" w:line="93" w:lineRule="exact"/>
        <w:rPr>
          <w:sz w:val="20"/>
          <w:szCs w:val="20"/>
          <w:color w:val="auto"/>
        </w:rPr>
      </w:pPr>
    </w:p>
    <w:p>
      <w:pPr>
        <w:ind w:left="2440" w:right="1398" w:hanging="701"/>
        <w:spacing w:after="0" w:line="271" w:lineRule="auto"/>
        <w:rPr>
          <w:sz w:val="20"/>
          <w:szCs w:val="20"/>
          <w:color w:val="auto"/>
        </w:rPr>
      </w:pPr>
      <w:r>
        <w:rPr>
          <w:rFonts w:ascii="Arial" w:cs="Arial" w:eastAsia="Arial" w:hAnsi="Arial"/>
          <w:sz w:val="14"/>
          <w:szCs w:val="14"/>
          <w:color w:val="auto"/>
        </w:rPr>
        <w:t>Level 2 — Inputs other than quoted prices in active markets that are either directly or indirectly observable</w:t>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Level 3 — Unobservable inputs that are supported by little or no market data</w:t>
      </w:r>
    </w:p>
    <w:p>
      <w:pPr>
        <w:spacing w:after="0" w:line="161"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Group’s financial instruments primarily consist of cash and cash equivalents, restricted cash, short-term investments, accounts receivable, amounts due from and due to related parties, other receivables, short-term bank borrowings, accounts payable and certain amount of accrued expenses and other liabilities whose carrying values approximate fair value due to the short-term nature of those instruments. The Group did not have any assets or liabilities measured and recorded at fair value on a non-recurring basis as of December 31, 2024 and 2025.</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 xml:space="preserve">The Group accounts for share-based compensation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The Company determines whether a share-based award should be accounted for as a liability award or equity award. All of the Group’s share-based awards to employees were classified as equity awards and are measured based on their grant date fair values. For awards with service conditions only, the Group elected to recognize compensation expense using the straight-line method for awards granted with graded vesting provided that the amount of compensation cost recognized at any date is at least equal to the portion of the grant date value of the shares that are vested at that date. For awards with performance and service conditions, the Group evaluated the likelihood of performance conditions being met at each reporting period. Share-based compensation costs are recorded when the performance conditions are considered probable and recognized using the accelerated method for awards granted with graded vesting. The Group accounted for forfeitures as they occur.</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Group generates revenue from contracts with customers. Revenue is recognized when control of the promised services is transferred to customers in an amount that reflects the consideration that the Group expects to receive in exchange for those services net of value added</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2" w:name="page323"/>
    <w:bookmarkEnd w:id="32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spacing w:after="0" w:line="238" w:lineRule="auto"/>
        <w:rPr>
          <w:sz w:val="20"/>
          <w:szCs w:val="20"/>
          <w:color w:val="auto"/>
        </w:rPr>
      </w:pPr>
      <w:r>
        <w:rPr>
          <w:rFonts w:ascii="Arial" w:cs="Arial" w:eastAsia="Arial" w:hAnsi="Arial"/>
          <w:sz w:val="14"/>
          <w:szCs w:val="14"/>
          <w:color w:val="auto"/>
        </w:rPr>
        <w:t>tax (“VAT”). Determining whether performance obligations should be accounted for separately or combined may require significant judgment. For each performance obligation within a contract, the Group evaluates whether it acts as the principal or as an agent. When the Group acts as the principal, revenue is recognized in the gross amount of the consideration received from the customer at the point in time the services are completed. When the Group acts as the agent, revenue is recognized net of the consideration due to a third party at the point in time when the services are provided.</w:t>
      </w:r>
    </w:p>
    <w:p>
      <w:pPr>
        <w:spacing w:after="0" w:line="8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contracts with multiple performance obligations, the Group allocates the transaction price to each distinct performance obligation proportionately based on the estimated stand-alone selling price (“SSP”) of each performance obligation. The Group uses an observable price to determine the SSP for each performance obligation. Where observable prices are not available, the Group uses an expected cost-plus margin approach. The Group then determines how the services are transferred to the customer to determine the timing of revenue recognition.</w:t>
      </w:r>
    </w:p>
    <w:p>
      <w:pPr>
        <w:spacing w:after="0" w:line="7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 xml:space="preserve">The Group utilized the practical expedient under ASC 606-10-50-14,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with Customers </w:t>
      </w:r>
      <w:r>
        <w:rPr>
          <w:rFonts w:ascii="Arial" w:cs="Arial" w:eastAsia="Arial" w:hAnsi="Arial"/>
          <w:sz w:val="14"/>
          <w:szCs w:val="14"/>
          <w:color w:val="auto"/>
        </w:rPr>
        <w:t>(“ASC 606”), and does not disclose the value of unsatisfied performance obligations</w:t>
      </w:r>
      <w:r>
        <w:rPr>
          <w:rFonts w:ascii="Arial" w:cs="Arial" w:eastAsia="Arial" w:hAnsi="Arial"/>
          <w:sz w:val="14"/>
          <w:szCs w:val="14"/>
          <w:i w:val="1"/>
          <w:iCs w:val="1"/>
          <w:color w:val="auto"/>
        </w:rPr>
        <w:t xml:space="preserve"> </w:t>
      </w:r>
      <w:r>
        <w:rPr>
          <w:rFonts w:ascii="Arial" w:cs="Arial" w:eastAsia="Arial" w:hAnsi="Arial"/>
          <w:sz w:val="14"/>
          <w:szCs w:val="14"/>
          <w:color w:val="auto"/>
        </w:rPr>
        <w:t>for contracts with an original expected length of one year or less.</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(i) Digitalization solutions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 xml:space="preserve">The Group generates digitalization solutions revenues from two sources: (i) fees charged to automobile original equipment manufacturers (“OEMs”) for its customer engagement solutions, including the design and development of customer-facing interfaces and full -stack digital infrastructure and solutions, and other value-added services including consulting and other support service to OEMs to help them better manage their customer-facing processes; and (ii) subscription fees charged to new and used-car dealers for a suite of SaaS-based tools and solutions delivered through the Group’s </w:t>
      </w:r>
      <w:r>
        <w:rPr>
          <w:rFonts w:ascii="Arial" w:cs="Arial" w:eastAsia="Arial" w:hAnsi="Arial"/>
          <w:sz w:val="14"/>
          <w:szCs w:val="14"/>
          <w:i w:val="1"/>
          <w:iCs w:val="1"/>
          <w:color w:val="auto"/>
        </w:rPr>
        <w:t>DaFengChe</w:t>
      </w:r>
      <w:r>
        <w:rPr>
          <w:rFonts w:ascii="Arial" w:cs="Arial" w:eastAsia="Arial" w:hAnsi="Arial"/>
          <w:sz w:val="14"/>
          <w:szCs w:val="14"/>
          <w:color w:val="auto"/>
        </w:rPr>
        <w:t xml:space="preserve">, </w:t>
      </w:r>
      <w:r>
        <w:rPr>
          <w:rFonts w:ascii="Arial" w:cs="Arial" w:eastAsia="Arial" w:hAnsi="Arial"/>
          <w:sz w:val="14"/>
          <w:szCs w:val="14"/>
          <w:i w:val="1"/>
          <w:iCs w:val="1"/>
          <w:color w:val="auto"/>
        </w:rPr>
        <w:t>Chehang 168</w:t>
      </w:r>
      <w:r>
        <w:rPr>
          <w:rFonts w:ascii="Arial" w:cs="Arial" w:eastAsia="Arial" w:hAnsi="Arial"/>
          <w:sz w:val="14"/>
          <w:szCs w:val="14"/>
          <w:color w:val="auto"/>
        </w:rPr>
        <w:t xml:space="preserve"> and </w:t>
      </w:r>
      <w:r>
        <w:rPr>
          <w:rFonts w:ascii="Arial" w:cs="Arial" w:eastAsia="Arial" w:hAnsi="Arial"/>
          <w:sz w:val="14"/>
          <w:szCs w:val="14"/>
          <w:i w:val="1"/>
          <w:iCs w:val="1"/>
          <w:color w:val="auto"/>
        </w:rPr>
        <w:t>Xinche Butler</w:t>
      </w:r>
      <w:r>
        <w:rPr>
          <w:rFonts w:ascii="Arial" w:cs="Arial" w:eastAsia="Arial" w:hAnsi="Arial"/>
          <w:sz w:val="14"/>
          <w:szCs w:val="14"/>
          <w:color w:val="auto"/>
        </w:rPr>
        <w:t xml:space="preserve"> applications.</w:t>
      </w:r>
    </w:p>
    <w:p>
      <w:pPr>
        <w:spacing w:after="0" w:line="7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 recognizes revenue from customer engagement solutions and other valued-added services over time if one of the following criteria is met: (i) the customer simultaneously receives and consumes the benefits as the Group performs; (ii) the Group’s performance creates or enhances an asset that the customer controls as the asset is created or enhanced; or (iii) the asset delivered has no alternative use and the Group has an enforceable right to payment for performance completed to date. For performance obligations satisfied over time, the Group recognizes revenue over time by measuring the progress toward complete satisfaction of a performance obligation usually using a time-based measure. Otherwise, revenues are recognized at a point in time when customers obtain control of promised software solutions and the Group satisfies its performance obligation.</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Revenues earned from noncancellable subscription services are recognized on a ratable basis over the contractual subscription term as the performance obligation is satisfied. The subscription services are sold in short term periods, typically one year or less, at a fixed price.</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4"/>
          <w:szCs w:val="14"/>
          <w:b w:val="1"/>
          <w:bCs w:val="1"/>
          <w:i w:val="1"/>
          <w:iCs w:val="1"/>
          <w:color w:val="auto"/>
        </w:rPr>
        <w:t>(ii) Transaction services</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offer a wide range of transaction services to dealers, OEMs and other industry participants to facilitate their vehicle-related transactions. These services primarily include B2B transaction facilitation services, delivery services, used car inspection and certification services, financial product referral services and other services and sales.</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3" w:name="page324"/>
    <w:bookmarkEnd w:id="32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B2B transaction facilitation services</w:t>
      </w:r>
    </w:p>
    <w:p>
      <w:pPr>
        <w:spacing w:after="0" w:line="9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The Group acts as an agent when facilitating a vehicle auction through its </w:t>
      </w:r>
      <w:r>
        <w:rPr>
          <w:rFonts w:ascii="Arial" w:cs="Arial" w:eastAsia="Arial" w:hAnsi="Arial"/>
          <w:sz w:val="14"/>
          <w:szCs w:val="14"/>
          <w:i w:val="1"/>
          <w:iCs w:val="1"/>
          <w:color w:val="auto"/>
        </w:rPr>
        <w:t>CheYiPai</w:t>
      </w:r>
      <w:r>
        <w:rPr>
          <w:rFonts w:ascii="Arial" w:cs="Arial" w:eastAsia="Arial" w:hAnsi="Arial"/>
          <w:sz w:val="14"/>
          <w:szCs w:val="14"/>
          <w:color w:val="auto"/>
        </w:rPr>
        <w:t xml:space="preserve"> platform and recognized the transaction on a net basis. The Group charges an auction service fee at a fixed percentage of each vehicle’s selling price or a maximum amount upon the successful closing of an auction transaction from buyers. Revenue is recognized at a point in time when the vehicle is sold. From time to time, the Group provides promotions and incentives to buyers and sellers of vehicle auction transactions in various forms including discounts on fees and rebates. Promotions and incentives which are consideration payable to a customer are recognized as a reduction of revenue when revenue is recognized.</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Delivery services</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Delivery services primarily include transportation services, warehousing services and title transfer and registration services.</w:t>
      </w:r>
    </w:p>
    <w:p>
      <w:pPr>
        <w:spacing w:after="0" w:line="62"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Group offers transportation services. Revenue from transportation services is recognized over time as customers receive and consume the benefits when the Group performs its services. In providing its transportation services, the Group leverages its network of third-party transportation carriers and arranges for the transportation of the vehicles according to the instructions from the owners of vehicles. The Group is the principal for transportation services and controls the services provided to customers because the Group retains the ability to direct shipping orders to the third-party carriers, is primarily responsible for fulfilling the services and bears risks for any damage incurred during shipping and has the discretion in setting pricing with the customer. Further, the transportation carriers are obligated to comply with service standards and implementation rule set by the Group when providing the transportation services for the Group. Transportation fees charged to customers are recorded on a gross basis.</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Group also offers warehousing services, which typically include the storage and management of its customers’ vehicle inventory. The Group charges fees based on the number of parking lots or the size of parking spaces occupied by customers at a fixed daily or monthly fee within a specific duration of time. Revenue is recognized over time as the customer receives the benefits of the Group’s warehousing services.</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Group also provides vehicle title transfer and registration services to the buyers on its CheYiPai platform and other customers on a standalone basis. Revenue from title transfer and registration services is recognized at a point in time upon completion of related services.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Used car inspection and certification services</w:t>
      </w:r>
    </w:p>
    <w:p>
      <w:pPr>
        <w:spacing w:after="0" w:line="107" w:lineRule="exact"/>
        <w:rPr>
          <w:sz w:val="20"/>
          <w:szCs w:val="20"/>
          <w:color w:val="auto"/>
        </w:rPr>
      </w:pPr>
    </w:p>
    <w:p>
      <w:pPr>
        <w:jc w:val="both"/>
        <w:ind w:left="1420" w:right="1398" w:firstLine="249"/>
        <w:spacing w:after="0" w:line="255" w:lineRule="auto"/>
        <w:rPr>
          <w:sz w:val="20"/>
          <w:szCs w:val="20"/>
          <w:color w:val="auto"/>
        </w:rPr>
      </w:pPr>
      <w:r>
        <w:rPr>
          <w:rFonts w:ascii="Arial" w:cs="Arial" w:eastAsia="Arial" w:hAnsi="Arial"/>
          <w:sz w:val="13"/>
          <w:szCs w:val="13"/>
          <w:color w:val="auto"/>
        </w:rPr>
        <w:t xml:space="preserve">The Group offers, usually to sellers of vehicles, inspection and certification services and provides vehicle inspection reports. Sellers attach such report for every auction on </w:t>
      </w:r>
      <w:r>
        <w:rPr>
          <w:rFonts w:ascii="Arial" w:cs="Arial" w:eastAsia="Arial" w:hAnsi="Arial"/>
          <w:sz w:val="13"/>
          <w:szCs w:val="13"/>
          <w:i w:val="1"/>
          <w:iCs w:val="1"/>
          <w:color w:val="auto"/>
        </w:rPr>
        <w:t>CheYiPai</w:t>
      </w:r>
      <w:r>
        <w:rPr>
          <w:rFonts w:ascii="Arial" w:cs="Arial" w:eastAsia="Arial" w:hAnsi="Arial"/>
          <w:sz w:val="13"/>
          <w:szCs w:val="13"/>
          <w:color w:val="auto"/>
        </w:rPr>
        <w:t xml:space="preserve"> platform and buyers rely on it to make their transaction decisions. Customers may use inspection report for transactions that do not occur on the Group’s platforms. Related inspection services fees vary depending on the number of items and data points included in the reports. In qualifying situations, the Group provides guarantee or seller protection by paying remedies to buyers related to a buyer’s claim that the vehicle inspection report did not accurately portray the condition of the vehicle purchased and gives sellers/buyers the right to claim damages or even request the Company to buy back the vehicle. The Group measures the guarantee based on its estimated fair value, which is deducted from the inspection service fee and the remaining service fee for inspection and certification services is recognized at a point in time when the vehicle inspection and report is completed and delivered to</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4" w:name="page325"/>
    <w:bookmarkEnd w:id="32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the customer. The carrying amount of the guarantee liability was RMB2,391 and RMB1,902 (US$ 272) as of December 31, 2024 and 2025, respectively, and is recorded as under accrued expenses and other current liabilities (Note 12).</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Financial product referral services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 provided financial product referral services to financial institutions providing auto loans and insurance products by connecting them with used car dealers and prospective car buyers and collating the buyers’ information to the financial institutions. Each financial institution independently assessed credit risk and made the lending decisions. The Group did not make any promises to prospective car dealers or buyers nor provided any guarantee of repayments by the borrowers. The Group received a commission for each successful auto loan referral approved by the financial institution. The Group recognized revenue at a point in time upon successful referrals and related payment was settled on a monthly basis.</w:t>
      </w:r>
    </w:p>
    <w:p>
      <w:pPr>
        <w:spacing w:after="0" w:line="7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Group disposed all of the equity interests in the PRC entities operating the financial product referral services in December 2024 (Note 6).</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u w:val="single" w:color="auto"/>
          <w:color w:val="auto"/>
        </w:rPr>
        <w:t>Marketing and others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Group recognizes the revenue from marketing and others on a gross basis as a principal or on a net basis when acting as an agent when the respective services are rendered or when the control of goods is transferred to the customers. Revenue from marketing and others primarily comprises online marketing services, sales services, sales of goods and other various services. The Group provides online marketing campaign services to OEM customers. Revenue from marketing service is recognized at a point in time when tailored content was delivered to the customer or displayed on third parties’ online platforms. The Group provides sales services to sellers, who place their vehicles at the Group’s physical showrooms during a fixed period, no longer than 90 days. The Group returns the vehicle if it remains unsold at the end of the period. The Group earns a service fee at a percentage of the selling price of each vehicle sale and recognizes related revenue at a point in time upon the sales of the vehicle. The Group also sells goods to the OEMs and revenue is recognized when the control of the goods is transferred to customers. Other various services are ancillary to the Group’s transaction services including training, data support, maintenance, outsourced labor, brand licensing royalties etc., which is individually insignificant, and revenue is recognized as respective service is rendered.</w:t>
      </w:r>
    </w:p>
    <w:p>
      <w:pPr>
        <w:spacing w:after="0" w:line="8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table summarizes the primary components of the Group’s revenues. This level of disaggregation takes into consideration how the nature, amount and cash flows are affected by economic factors for the years ended December 31, 2023, 2024 and 2025:</w:t>
      </w:r>
    </w:p>
    <w:p>
      <w:pPr>
        <w:spacing w:after="0" w:line="157"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tcBorders>
              <w:bottom w:val="single" w:sz="8" w:color="auto"/>
            </w:tcBorders>
            <w:gridSpan w:val="7"/>
          </w:tcPr>
          <w:p>
            <w:pPr>
              <w:ind w:left="720"/>
              <w:spacing w:after="0"/>
              <w:rPr>
                <w:sz w:val="20"/>
                <w:szCs w:val="20"/>
                <w:color w:val="auto"/>
              </w:rPr>
            </w:pPr>
            <w:r>
              <w:rPr>
                <w:rFonts w:ascii="Arial" w:cs="Arial" w:eastAsia="Arial" w:hAnsi="Arial"/>
                <w:sz w:val="11"/>
                <w:szCs w:val="11"/>
                <w:b w:val="1"/>
                <w:bCs w:val="1"/>
                <w:color w:val="auto"/>
              </w:rPr>
              <w:t>For the years ended December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RMB</w:t>
            </w: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20" w:type="dxa"/>
            <w:vAlign w:val="bottom"/>
          </w:tcPr>
          <w:p>
            <w:pPr>
              <w:jc w:val="right"/>
              <w:ind w:right="234"/>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Digitalization solutions</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140,290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92,976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74,519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10,656</w:t>
            </w:r>
          </w:p>
        </w:tc>
        <w:tc>
          <w:tcPr>
            <w:tcW w:w="0" w:type="dxa"/>
            <w:vAlign w:val="bottom"/>
          </w:tcPr>
          <w:p>
            <w:pPr>
              <w:spacing w:after="0"/>
              <w:rPr>
                <w:sz w:val="1"/>
                <w:szCs w:val="1"/>
                <w:color w:val="auto"/>
              </w:rPr>
            </w:pPr>
          </w:p>
        </w:tc>
      </w:tr>
      <w:tr>
        <w:trPr>
          <w:trHeight w:val="212"/>
        </w:trPr>
        <w:tc>
          <w:tcPr>
            <w:tcW w:w="2660" w:type="dxa"/>
            <w:vAlign w:val="bottom"/>
          </w:tcPr>
          <w:p>
            <w:pPr>
              <w:spacing w:after="0"/>
              <w:rPr>
                <w:sz w:val="20"/>
                <w:szCs w:val="20"/>
                <w:color w:val="auto"/>
              </w:rPr>
            </w:pPr>
            <w:r>
              <w:rPr>
                <w:rFonts w:ascii="Arial" w:cs="Arial" w:eastAsia="Arial" w:hAnsi="Arial"/>
                <w:sz w:val="14"/>
                <w:szCs w:val="14"/>
                <w:b w:val="1"/>
                <w:bCs w:val="1"/>
                <w:color w:val="auto"/>
              </w:rPr>
              <w:t>Transaction services</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768,754</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855,251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602,540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86,162</w:t>
            </w: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B2B transaction facilitation</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85,461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75,158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71,177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10,179</w:t>
            </w: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4"/>
                <w:szCs w:val="14"/>
                <w:color w:val="auto"/>
              </w:rPr>
              <w:t>Delivery</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252,962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336,180</w:t>
            </w:r>
          </w:p>
        </w:tc>
        <w:tc>
          <w:tcPr>
            <w:tcW w:w="740" w:type="dxa"/>
            <w:vAlign w:val="bottom"/>
          </w:tcPr>
          <w:p>
            <w:pPr>
              <w:jc w:val="right"/>
              <w:spacing w:after="0"/>
              <w:rPr>
                <w:sz w:val="20"/>
                <w:szCs w:val="20"/>
                <w:color w:val="auto"/>
              </w:rPr>
            </w:pPr>
            <w:r>
              <w:rPr>
                <w:rFonts w:ascii="Arial" w:cs="Arial" w:eastAsia="Arial" w:hAnsi="Arial"/>
                <w:sz w:val="14"/>
                <w:szCs w:val="14"/>
                <w:color w:val="auto"/>
              </w:rPr>
              <w:t>330,238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47,223</w:t>
            </w: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Used car inspection and certification</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56,387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57,480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9,341</w:t>
            </w:r>
          </w:p>
        </w:tc>
        <w:tc>
          <w:tcPr>
            <w:tcW w:w="0" w:type="dxa"/>
            <w:vAlign w:val="bottom"/>
          </w:tcPr>
          <w:p>
            <w:pPr>
              <w:spacing w:after="0"/>
              <w:rPr>
                <w:sz w:val="1"/>
                <w:szCs w:val="1"/>
                <w:color w:val="auto"/>
              </w:rPr>
            </w:pPr>
          </w:p>
        </w:tc>
      </w:tr>
      <w:tr>
        <w:trPr>
          <w:trHeight w:val="209"/>
        </w:trPr>
        <w:tc>
          <w:tcPr>
            <w:tcW w:w="2660" w:type="dxa"/>
            <w:vAlign w:val="bottom"/>
          </w:tcPr>
          <w:p>
            <w:pPr>
              <w:ind w:left="140"/>
              <w:spacing w:after="0"/>
              <w:rPr>
                <w:sz w:val="20"/>
                <w:szCs w:val="20"/>
                <w:color w:val="auto"/>
              </w:rPr>
            </w:pPr>
            <w:r>
              <w:rPr>
                <w:rFonts w:ascii="Arial" w:cs="Arial" w:eastAsia="Arial" w:hAnsi="Arial"/>
                <w:sz w:val="14"/>
                <w:szCs w:val="14"/>
                <w:color w:val="auto"/>
              </w:rPr>
              <w:t>Financial product referral</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233,838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256,430</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Marketing and others</w:t>
            </w: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140,106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130,003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135,799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19,419</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909,044</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948,227</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677,059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96,818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color w:val="auto"/>
              </w:rPr>
              <w:t>F-27</w:t>
            </w: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25" w:name="page326"/>
    <w:bookmarkEnd w:id="32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Contract assets and contract liabilities</w:t>
      </w:r>
    </w:p>
    <w:p>
      <w:pPr>
        <w:spacing w:after="0" w:line="9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Group’s contract liabilities were mainly related to prepaid subscription fees for its SaaS subscription services and other services to be provided over the contract period, generally less than one year, and presented as “Contract liabilities and customer advance” on the consolidated balance sheets. Contract liabilities balances were RMB42,213 and RMB49,307 (US$ 7,051) as of December 31, 2024 and 2025, respectively. Revenue recognized for the years ended December 31, 2023, 2024 and 2025 that was included in contract liabilities at the beginning of the period was RMB47,704, RMB41,781 and RMB38,377 (US$5,488), respectively.</w:t>
      </w:r>
    </w:p>
    <w:p>
      <w:pPr>
        <w:spacing w:after="0" w:line="8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Contract assets mainly represent unbilled amounts related to the Group’s rights to consideration for transportation and warehousing services delivered and are included in “Contract assets” on the combined and consolidated balance sheets. The Group transfers contract assets to accounts receivable when its right to payment become unconditional. As of December 31, 2024 and 2025, contract assets were RMB109,154 and RMB90,337 (US$12,918), respectively. The decrease in contract assets was primarily due to the accelerated timing of settlements with customers as of December 31, 2025 compared with 2024.</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allowance for credit losses on contract assets was RMB1,467 and RMB1,501 (US$ 215) as of December 31, 2024 and 2025, respectively. The amounts charged to expenses for credit losses on contract assets were RMB254, RMB918 and RMB34 (US$ 5) for the years ended December 31, 2023, 2024 and 2025, respectively. Write-offs of RMB489, nil and nil were charged against the allowance for the years ended December 31, 2023, 2024 and 2025, respectively.</w:t>
      </w:r>
    </w:p>
    <w:p>
      <w:pPr>
        <w:spacing w:after="0" w:line="107"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Cost of Revenues</w:t>
      </w:r>
    </w:p>
    <w:p>
      <w:pPr>
        <w:spacing w:after="0" w:line="107" w:lineRule="exact"/>
        <w:rPr>
          <w:sz w:val="20"/>
          <w:szCs w:val="20"/>
          <w:color w:val="auto"/>
        </w:rPr>
      </w:pPr>
    </w:p>
    <w:p>
      <w:pPr>
        <w:jc w:val="both"/>
        <w:ind w:left="1420" w:right="1398" w:firstLine="249"/>
        <w:spacing w:after="0" w:line="280" w:lineRule="auto"/>
        <w:rPr>
          <w:sz w:val="20"/>
          <w:szCs w:val="20"/>
          <w:color w:val="auto"/>
        </w:rPr>
      </w:pPr>
      <w:r>
        <w:rPr>
          <w:rFonts w:ascii="Arial" w:cs="Arial" w:eastAsia="Arial" w:hAnsi="Arial"/>
          <w:sz w:val="13"/>
          <w:szCs w:val="13"/>
          <w:color w:val="auto"/>
        </w:rPr>
        <w:t>Cost of revenues consists primarily of employee salaries and benefits, bandwidth costs, customer support, inspection related costs, third-party transportation carrier costs, rental costs, depreciation and amortization, utilities and various other costs directly attributable to the Company’s revenues.</w:t>
      </w:r>
    </w:p>
    <w:p>
      <w:pPr>
        <w:spacing w:after="0" w:line="11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Sales and marketing expenses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Sales and marketing expenses consist primarily of advertising and marketing promotion expenses, salaries and other expenses incurred by the Group’s sales and marketing personnel. Expenses relating to the Group’s online and offline sales channels marketing are charged to sales and marketing expense as incurred and amounted to RMB2,115, RMB1,141 and RMB3 (US$ nil) for the years ended December 31, 2023, 2024 and 2025, respectively.</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07"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Research and development expenses consist primarily of: (i) payroll and related personnel costs for the development and related enhancements of the Group’s internal use software for its operation management and mobile applications and mobile websites; (ii) expenses associated with new technology and product development and enhancement; and (iii) rental expense and depreciation of servers.</w:t>
      </w:r>
    </w:p>
    <w:p>
      <w:pPr>
        <w:spacing w:after="0" w:line="8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 internally developed software, the Group expenses all costs incurred for the preliminary project stage and post implementation-operation stage of development, and costs associated with repair or maintenance of the existing platform. Costs incurred in the application development stage are capitalized and amortized over the estimated useful life, generally three years. The amount of</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6" w:name="page327"/>
    <w:bookmarkEnd w:id="32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the Group’s research and development expenses qualifying for capitalization was immaterial for the years ended December 31, 2023 and 2024. The Group capitalized software development costs of RMB2,934 (US$420) for the year ended December 31, 2025.</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Leases</w:t>
      </w:r>
    </w:p>
    <w:p>
      <w:pPr>
        <w:spacing w:after="0" w:line="107" w:lineRule="exact"/>
        <w:rPr>
          <w:sz w:val="20"/>
          <w:szCs w:val="20"/>
          <w:color w:val="auto"/>
        </w:rPr>
      </w:pPr>
    </w:p>
    <w:p>
      <w:pPr>
        <w:jc w:val="both"/>
        <w:ind w:left="1420" w:right="1398" w:firstLine="249"/>
        <w:spacing w:after="0" w:line="235" w:lineRule="auto"/>
        <w:rPr>
          <w:sz w:val="20"/>
          <w:szCs w:val="20"/>
          <w:color w:val="auto"/>
        </w:rPr>
      </w:pPr>
      <w:r>
        <w:rPr>
          <w:rFonts w:ascii="Arial" w:cs="Arial" w:eastAsia="Arial" w:hAnsi="Arial"/>
          <w:sz w:val="14"/>
          <w:szCs w:val="14"/>
          <w:color w:val="auto"/>
        </w:rPr>
        <w:t>The Group has operating leases primarily for warehouses and office facilities. The determination of whether an arrangement is a lease or contains a lease is made at inception by evaluating whether the arrangement conveys the right to use an identified asset and whether the Group obtains substantially all the economic benefits from and has the ability to direct the use of the asset. The Company has elected to account for operating leases with a term less than 12 months to be expensed as incurred. For leases with terms greater than 12 months, the Group records the related right-of-use assets and lease liabilities at the present value of lease payments over the term. Certain leases include rental escalation clauses, renewal options and/or termination options that are factored into the Group’s determination of lease payments when appropriate. The Group includes renewal options in the lease term if the Group is reasonably certain to exercise those options while options to terminate the lease are only included in the lease term if the Group is reasonably certain not to exercise those options.</w:t>
      </w:r>
    </w:p>
    <w:p>
      <w:pPr>
        <w:spacing w:after="0" w:line="8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is unable to determine the lessor’s implicit rate and uses an incremental borrowing rate based on the estimated rate of interest for collateralized borrowing over a similar term of the lease payments, at the commencement date in determining the present value of lease payments. Lease expenses are recorded on a straight-line basis over the lease term.</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Income taxes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Group recognizes income taxes under the liability method.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 likely than not that a portion or all of the deferred tax assets will not be realized. The effect of a change in tax rate is recognized in tax expense in the period that includes the enactment date of the change in tax rate.</w:t>
      </w:r>
    </w:p>
    <w:p>
      <w:pPr>
        <w:spacing w:after="0" w:line="8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Group assesses all material positions taken in any income tax return, including all significant uncertain positions, in all tax years that are still subject to assessment or challenge by relevant taxing authorities. The Group recognizes in the combined and consolidated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50% likelihood of being realized upon settlement. Interest and penalties arising from underpayment of income taxes shall be computed in accordance with the related tax law and are classified in the combined and consolidated statements of comprehensive loss as income tax expense.</w:t>
      </w:r>
    </w:p>
    <w:p>
      <w:pPr>
        <w:spacing w:after="0" w:line="7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 xml:space="preserve">The Group adopted ASU 2023-09, </w:t>
      </w:r>
      <w:r>
        <w:rPr>
          <w:rFonts w:ascii="Arial" w:cs="Arial" w:eastAsia="Arial" w:hAnsi="Arial"/>
          <w:sz w:val="14"/>
          <w:szCs w:val="14"/>
          <w:i w:val="1"/>
          <w:iCs w:val="1"/>
          <w:color w:val="auto"/>
        </w:rPr>
        <w:t>Income Taxes (Topic 740): Improvements to Income Tax</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Disclosures </w:t>
      </w:r>
      <w:r>
        <w:rPr>
          <w:rFonts w:ascii="Arial" w:cs="Arial" w:eastAsia="Arial" w:hAnsi="Arial"/>
          <w:sz w:val="14"/>
          <w:szCs w:val="14"/>
          <w:color w:val="auto"/>
        </w:rPr>
        <w:t>(“ASU 2023-09”) on January 1, 2025 on a prospective basis, which requires</w:t>
      </w:r>
      <w:r>
        <w:rPr>
          <w:rFonts w:ascii="Arial" w:cs="Arial" w:eastAsia="Arial" w:hAnsi="Arial"/>
          <w:sz w:val="14"/>
          <w:szCs w:val="14"/>
          <w:i w:val="1"/>
          <w:iCs w:val="1"/>
          <w:color w:val="auto"/>
        </w:rPr>
        <w:t xml:space="preserve"> </w:t>
      </w:r>
      <w:r>
        <w:rPr>
          <w:rFonts w:ascii="Arial" w:cs="Arial" w:eastAsia="Arial" w:hAnsi="Arial"/>
          <w:sz w:val="14"/>
          <w:szCs w:val="14"/>
          <w:color w:val="auto"/>
        </w:rPr>
        <w:t>disaggregated information about a reporting entity’s effective tax rate reconciliation as well as additional information on income taxes paid (Note 16).</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7" w:name="page328"/>
    <w:bookmarkEnd w:id="32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96" w:lineRule="exact"/>
        <w:rPr>
          <w:sz w:val="20"/>
          <w:szCs w:val="20"/>
          <w:color w:val="auto"/>
        </w:rPr>
      </w:pPr>
    </w:p>
    <w:p>
      <w:pPr>
        <w:jc w:val="both"/>
        <w:ind w:left="1420" w:right="1398" w:firstLine="249"/>
        <w:spacing w:after="0" w:line="233" w:lineRule="auto"/>
        <w:rPr>
          <w:sz w:val="20"/>
          <w:szCs w:val="20"/>
          <w:color w:val="auto"/>
        </w:rPr>
      </w:pPr>
      <w:r>
        <w:rPr>
          <w:rFonts w:ascii="Arial" w:cs="Arial" w:eastAsia="Arial" w:hAnsi="Arial"/>
          <w:sz w:val="14"/>
          <w:szCs w:val="14"/>
          <w:color w:val="auto"/>
        </w:rPr>
        <w:t xml:space="preserve">The Group adopted ASU 2023-07, </w:t>
      </w:r>
      <w:r>
        <w:rPr>
          <w:rFonts w:ascii="Arial" w:cs="Arial" w:eastAsia="Arial" w:hAnsi="Arial"/>
          <w:sz w:val="14"/>
          <w:szCs w:val="14"/>
          <w:i w:val="1"/>
          <w:iCs w:val="1"/>
          <w:color w:val="auto"/>
        </w:rPr>
        <w:t>Segment Reporting: Improvements to Reportable Segment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Disclosures </w:t>
      </w:r>
      <w:r>
        <w:rPr>
          <w:rFonts w:ascii="Arial" w:cs="Arial" w:eastAsia="Arial" w:hAnsi="Arial"/>
          <w:sz w:val="14"/>
          <w:szCs w:val="14"/>
          <w:color w:val="auto"/>
        </w:rPr>
        <w:t>(“ASU 2023-07”) on January 1, 2024 to retrospectively improve reportable segment</w:t>
      </w:r>
      <w:r>
        <w:rPr>
          <w:rFonts w:ascii="Arial" w:cs="Arial" w:eastAsia="Arial" w:hAnsi="Arial"/>
          <w:sz w:val="14"/>
          <w:szCs w:val="14"/>
          <w:i w:val="1"/>
          <w:iCs w:val="1"/>
          <w:color w:val="auto"/>
        </w:rPr>
        <w:t xml:space="preserve"> </w:t>
      </w:r>
      <w:r>
        <w:rPr>
          <w:rFonts w:ascii="Arial" w:cs="Arial" w:eastAsia="Arial" w:hAnsi="Arial"/>
          <w:sz w:val="14"/>
          <w:szCs w:val="14"/>
          <w:color w:val="auto"/>
        </w:rPr>
        <w:t>disclosure requirements, primarily through enhanced disclosures about significant segment expenses. The Group’s Chief Executive Officer (CEO) is its chief operating decision maker (“CODM”). The CEO reviews the financial information presented on a combined and consolidated basis and uses combined and consolidated loss from operations as reported on the statement of comprehensive loss when making decisions about allocating resources and evaluating the Group’s financial performance as a whole. Accordingly, the Group has determined that it operates in a single reporting segment. More specifically, the CEO reviews the Group’s combined and consolidated revenues, costs and expenses on an ongoing basis against its annual budgets, and determines whether certain management actions including personnel or budgets shall be made. The Group does not distinguish between markets or segments for the purpose of internal reporting. The Group’s long-lived assets are substantially all located in the PRC and substantially all the Group’s revenues are derived from within the PRC. The measurement of segment assets is reported on the balance sheet as total consolidated assets. As the Group operates in a single reportable segment, the segment revenue, and segment loss are disclosed in the combined and consolidated statements of comprehensive loss. The Group determines that personnel costs are the significant segment expenses. Personnel costs for the years ended December 31, 2023, 2024 and 2025 were RMB377,731, RMB322,740 and RMB263,983 (US$37,749), respectively. Other segment items, representing the aggregated residual amount reconciling from combined and consolidated revenues, significant segment expense and combined and consolidated loss from operations, mainly include service fees paid to third parties, product procurement and rental fees. The amounts for other segment items for the years ended December 31, 2023, 2024 and 2025 were RMB721,884, RMB814,037 and RMB515,010 (US$73,646), respectively.</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Employee benefits</w:t>
      </w:r>
    </w:p>
    <w:p>
      <w:pPr>
        <w:spacing w:after="0" w:line="107" w:lineRule="exact"/>
        <w:rPr>
          <w:sz w:val="20"/>
          <w:szCs w:val="20"/>
          <w:color w:val="auto"/>
        </w:rPr>
      </w:pPr>
    </w:p>
    <w:p>
      <w:pPr>
        <w:jc w:val="both"/>
        <w:ind w:left="1420" w:right="1398" w:firstLine="249"/>
        <w:spacing w:after="0" w:line="261" w:lineRule="auto"/>
        <w:rPr>
          <w:sz w:val="20"/>
          <w:szCs w:val="20"/>
          <w:color w:val="auto"/>
        </w:rPr>
      </w:pPr>
      <w:r>
        <w:rPr>
          <w:rFonts w:ascii="Arial" w:cs="Arial" w:eastAsia="Arial" w:hAnsi="Arial"/>
          <w:sz w:val="13"/>
          <w:szCs w:val="13"/>
          <w:color w:val="auto"/>
        </w:rPr>
        <w:t>All eligible employees of the Group are entitled to staff welfare benefits including medical care, welfare subsidies, unemployment insurance, pension benefits, and employee housing fund through a PRC government-mandated multi-employer defined contribution plan. The Group is required to make contributions to the plan and accrue for these benefits based on certain percentages of the qualified employees’ salaries. The Group recorded employee benefit expenses of RMB56,829, RMB57,225 and RMB49,880 (US$7,133) for the years ended December 31, 2023, 2024 and 2025, respectively.</w:t>
      </w:r>
    </w:p>
    <w:p>
      <w:pPr>
        <w:spacing w:after="0" w:line="12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w:t>
      </w:r>
      <w:r>
        <w:rPr>
          <w:rFonts w:ascii="Arial" w:cs="Arial" w:eastAsia="Arial" w:hAnsi="Arial"/>
          <w:sz w:val="14"/>
          <w:szCs w:val="14"/>
          <w:color w:val="auto"/>
        </w:rPr>
        <w:t xml:space="preserve"> </w:t>
      </w:r>
      <w:r>
        <w:rPr>
          <w:rFonts w:ascii="Arial" w:cs="Arial" w:eastAsia="Arial" w:hAnsi="Arial"/>
          <w:sz w:val="14"/>
          <w:szCs w:val="14"/>
          <w:i w:val="1"/>
          <w:iCs w:val="1"/>
          <w:color w:val="auto"/>
        </w:rPr>
        <w:t>Comprehensive Income — Expense Disaggregation Disclosures (Subtopic 220-40)</w:t>
      </w:r>
      <w:r>
        <w:rPr>
          <w:rFonts w:ascii="Arial" w:cs="Arial" w:eastAsia="Arial" w:hAnsi="Arial"/>
          <w:sz w:val="14"/>
          <w:szCs w:val="14"/>
          <w:color w:val="auto"/>
        </w:rPr>
        <w:t>, which requires</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Group is in the process of evaluating the impact of adopting this new standard.</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8" w:name="page329"/>
    <w:bookmarkEnd w:id="32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 SUMMARY OF SIGNIFICANT ACCOUNTING POLICIES (cont.)</w:t>
      </w:r>
    </w:p>
    <w:p>
      <w:pPr>
        <w:spacing w:after="0" w:line="130"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 xml:space="preserve">In July 2025, the FASB issued ASU 2025-05, </w:t>
      </w:r>
      <w:r>
        <w:rPr>
          <w:rFonts w:ascii="Arial" w:cs="Arial" w:eastAsia="Arial" w:hAnsi="Arial"/>
          <w:sz w:val="14"/>
          <w:szCs w:val="14"/>
          <w:i w:val="1"/>
          <w:iCs w:val="1"/>
          <w:color w:val="auto"/>
        </w:rPr>
        <w:t>Financial Instruments — Credit Losses (Topic 326):</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of Credit Losses for Accounts Receivable and Contract Assets </w:t>
      </w:r>
      <w:r>
        <w:rPr>
          <w:rFonts w:ascii="Arial" w:cs="Arial" w:eastAsia="Arial" w:hAnsi="Arial"/>
          <w:sz w:val="14"/>
          <w:szCs w:val="14"/>
          <w:color w:val="auto"/>
        </w:rPr>
        <w:t>(“ASU 2025-05”), which</w:t>
      </w:r>
      <w:r>
        <w:rPr>
          <w:rFonts w:ascii="Arial" w:cs="Arial" w:eastAsia="Arial" w:hAnsi="Arial"/>
          <w:sz w:val="14"/>
          <w:szCs w:val="14"/>
          <w:i w:val="1"/>
          <w:iCs w:val="1"/>
          <w:color w:val="auto"/>
        </w:rPr>
        <w:t xml:space="preserve"> </w:t>
      </w:r>
      <w:r>
        <w:rPr>
          <w:rFonts w:ascii="Arial" w:cs="Arial" w:eastAsia="Arial" w:hAnsi="Arial"/>
          <w:sz w:val="14"/>
          <w:szCs w:val="14"/>
          <w:color w:val="auto"/>
        </w:rPr>
        <w:t>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annual reporting periods beginning after 15 December 2025, and interim reporting periods within those annual reporting periods. Early adoption is permitted. This ASU should be applied prospectively. The Group is in the process of evaluating the impact of adopting this new standard.</w:t>
      </w:r>
    </w:p>
    <w:p>
      <w:pPr>
        <w:spacing w:after="0" w:line="8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 xml:space="preserve">In December 2025, the FASB issued ASU 2025-10, </w:t>
      </w:r>
      <w:r>
        <w:rPr>
          <w:rFonts w:ascii="Arial" w:cs="Arial" w:eastAsia="Arial" w:hAnsi="Arial"/>
          <w:sz w:val="14"/>
          <w:szCs w:val="14"/>
          <w:i w:val="1"/>
          <w:iCs w:val="1"/>
          <w:color w:val="auto"/>
        </w:rPr>
        <w:t>Government Grants (Topic 832):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for Government Grants Received by Business Entities </w:t>
      </w:r>
      <w:r>
        <w:rPr>
          <w:rFonts w:ascii="Arial" w:cs="Arial" w:eastAsia="Arial" w:hAnsi="Arial"/>
          <w:sz w:val="14"/>
          <w:szCs w:val="14"/>
          <w:color w:val="auto"/>
        </w:rPr>
        <w:t>(“ASU 2025-10”), to improve generally</w:t>
      </w:r>
      <w:r>
        <w:rPr>
          <w:rFonts w:ascii="Arial" w:cs="Arial" w:eastAsia="Arial" w:hAnsi="Arial"/>
          <w:sz w:val="14"/>
          <w:szCs w:val="14"/>
          <w:i w:val="1"/>
          <w:iCs w:val="1"/>
          <w:color w:val="auto"/>
        </w:rPr>
        <w:t xml:space="preserve"> </w:t>
      </w:r>
      <w:r>
        <w:rPr>
          <w:rFonts w:ascii="Arial" w:cs="Arial" w:eastAsia="Arial" w:hAnsi="Arial"/>
          <w:sz w:val="14"/>
          <w:szCs w:val="14"/>
          <w:color w:val="auto"/>
        </w:rPr>
        <w:t>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Early adoption is permitted. This ASU can be applied using one of the following approaches: (1) a modified prospective approach; (2) a modified retrospective approach and (3) a retrospective approach to all government grants. The Group is in the process of evaluating the impact of this new standard.</w:t>
      </w:r>
    </w:p>
    <w:p>
      <w:pPr>
        <w:spacing w:after="0" w:line="1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3. CONCENTRATION OF RISKS</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Financial instruments that potentially subject the Group to significant concentration of credit risk consist primarily of cash and cash equivalents, restricted cash, short-term investments, accounts receivable and contract assets. As of December 31, 2024 and 2025, RMB161,627 and RMB129,609 (US$18,534), respectively, of the Group’s cash and cash equivalents and restricted cash were primarily deposited in financial institutions located in the PRC, which management believes are of high credit quality.</w:t>
      </w:r>
    </w:p>
    <w:p>
      <w:pPr>
        <w:spacing w:after="0" w:line="86"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Accounts receivable and contract assets are typically unsecured and derived from revenue earned from customers in China, which are exposed to credit risk. The Group mitigates customer credit risk by performing periodic credit evaluations on its customers and ongoing monitoring outstanding balances. The Group maintains reserves for estimated credit losses and these losses have generally been within its expectations. There were one customer, two customers and one customer that exceeded 10% of the Group’s total combined and consolidated revenue during the years ended December 31, 2023, 2024 and 2025, respectively. Revenues from Customer A represent 34% and 29% of the Group’s total combined and consolidated revenue for the years ended December 31, 2023 and 2024, respectively. Revenues from Customer B represent 17% and 18% of the Group’s total consolidated revenue for the years ended December 31, 2024 and 2025, respectively.</w:t>
      </w:r>
    </w:p>
    <w:p>
      <w:pPr>
        <w:spacing w:after="0" w:line="85"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Amounts due from related parties are typically unsecured. In evaluating the collectability of the amounts due from related parties, the Group considers many factors, including the related parties’ repayment history and their credit-worthiness. An allowance for credit losses is made when collection of the full amount is no longer probable.</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29" w:name="page330"/>
    <w:bookmarkEnd w:id="32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3. CONCENTRATION OF RISKS (cont.)</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Currency convertibility risk</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Substantially all of the Group’s operating activities are transacted in RMB, which is not freely convertible into foreign currencies. All foreign exchange transactions continue to take place either through the People’s Bank of China (“PBOC”) or other banks authorized to buy and sell foreign currencies at the exchange rates quoted by the PBOC. Approval for foreign currency payments by the PBOC or other institutions requires submitting a payment application form together with suppliers’ invoices, shipping documents and signed contracts.</w:t>
      </w:r>
    </w:p>
    <w:p>
      <w:pPr>
        <w:spacing w:after="0" w:line="14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From July 21, 2005, the RMB is permitted to fluctuate within a narrow band against a basket of certain foreign currencies. The US$ appreciated against RMB by approximately 1.67% and 1.47% during the years ended December 31, 2023 and 2024, respectively. The US$ depreciated against RMB by 2.27% during the year ended December 31, 2025. Any significant revaluation of RMB may materially and adversely affect the Group’s cash flows, revenues, earnings and financial position. As of December 31, 2024 and 2025, the Group had US$ denominated cash and cash equivalents and restricted cash of US$888 and US$331, respectively.</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4. ACCOUNTS RECEIVABLE, NET</w:t>
      </w:r>
    </w:p>
    <w:p>
      <w:pPr>
        <w:spacing w:after="0" w:line="109"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Accounts receivable and expected credit losses as of December 31, 2024 and 2025 are as follows: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As of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08"/>
        </w:trPr>
        <w:tc>
          <w:tcPr>
            <w:tcW w:w="3420" w:type="dxa"/>
            <w:vAlign w:val="bottom"/>
          </w:tcPr>
          <w:p>
            <w:pPr>
              <w:spacing w:after="0"/>
              <w:rPr>
                <w:sz w:val="18"/>
                <w:szCs w:val="18"/>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8"/>
        </w:trPr>
        <w:tc>
          <w:tcPr>
            <w:tcW w:w="34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US$</w:t>
            </w: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79,673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11,393</w:t>
            </w:r>
          </w:p>
        </w:tc>
      </w:tr>
      <w:tr>
        <w:trPr>
          <w:trHeight w:val="214"/>
        </w:trPr>
        <w:tc>
          <w:tcPr>
            <w:tcW w:w="3420" w:type="dxa"/>
            <w:vAlign w:val="bottom"/>
          </w:tcPr>
          <w:p>
            <w:pPr>
              <w:spacing w:after="0"/>
              <w:rPr>
                <w:sz w:val="20"/>
                <w:szCs w:val="20"/>
                <w:color w:val="auto"/>
              </w:rPr>
            </w:pPr>
            <w:r>
              <w:rPr>
                <w:rFonts w:ascii="Arial" w:cs="Arial" w:eastAsia="Arial" w:hAnsi="Arial"/>
                <w:sz w:val="14"/>
                <w:szCs w:val="14"/>
                <w:color w:val="auto"/>
              </w:rPr>
              <w:t>Less: allowance for credit losses</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(20,403)</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(18,920)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(2,705)</w:t>
            </w:r>
          </w:p>
        </w:tc>
      </w:tr>
      <w:tr>
        <w:trPr>
          <w:trHeight w:val="191"/>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Accounts receivable, net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roll-forward of the allowance for credit losses related to accounts receivable for the years ended December 31, 2023, 2024 and 2025 consists of the following activity:</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1"/>
                <w:szCs w:val="11"/>
                <w:b w:val="1"/>
                <w:bCs w:val="1"/>
                <w:color w:val="auto"/>
              </w:rPr>
              <w:t>As of December 31,</w:t>
            </w: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14,861</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17,386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20,403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137"/>
        </w:trPr>
        <w:tc>
          <w:tcPr>
            <w:tcW w:w="2740" w:type="dxa"/>
            <w:vAlign w:val="bottom"/>
          </w:tcPr>
          <w:p>
            <w:pPr>
              <w:spacing w:after="0" w:line="137" w:lineRule="exact"/>
              <w:rPr>
                <w:sz w:val="20"/>
                <w:szCs w:val="20"/>
                <w:color w:val="auto"/>
              </w:rPr>
            </w:pPr>
            <w:r>
              <w:rPr>
                <w:rFonts w:ascii="Arial" w:cs="Arial" w:eastAsia="Arial" w:hAnsi="Arial"/>
                <w:sz w:val="14"/>
                <w:szCs w:val="14"/>
                <w:color w:val="auto"/>
              </w:rPr>
              <w:t>Provision for (reversal of) expected credit</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140"/>
              <w:spacing w:after="0"/>
              <w:rPr>
                <w:sz w:val="20"/>
                <w:szCs w:val="20"/>
                <w:color w:val="auto"/>
              </w:rPr>
            </w:pPr>
            <w:r>
              <w:rPr>
                <w:rFonts w:ascii="Arial" w:cs="Arial" w:eastAsia="Arial" w:hAnsi="Arial"/>
                <w:sz w:val="14"/>
                <w:szCs w:val="14"/>
                <w:color w:val="auto"/>
              </w:rPr>
              <w:t>losses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3,017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(1,483)</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2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Write-offs</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(1,288)</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Balance at end of year</w:t>
            </w: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17,386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20,403</w:t>
            </w: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18,920</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2,705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F-32</w:t>
            </w: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30" w:name="page331"/>
    <w:bookmarkEnd w:id="33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5. PREPAID EXPENSES AND OTHER CURRENT ASSETS</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860" w:type="dxa"/>
            <w:vAlign w:val="bottom"/>
          </w:tcPr>
          <w:p>
            <w:pPr>
              <w:jc w:val="right"/>
              <w:ind w:right="234"/>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4"/>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 receivables in the auction service</w:t>
            </w:r>
            <w:r>
              <w:rPr>
                <w:rFonts w:ascii="Arial" w:cs="Arial" w:eastAsia="Arial" w:hAnsi="Arial"/>
                <w:sz w:val="16"/>
                <w:szCs w:val="16"/>
                <w:color w:val="auto"/>
                <w:vertAlign w:val="superscript"/>
              </w:rPr>
              <w:t>(i)</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42,754</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49,289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Deposits</w:t>
            </w:r>
          </w:p>
        </w:tc>
        <w:tc>
          <w:tcPr>
            <w:tcW w:w="860" w:type="dxa"/>
            <w:vAlign w:val="bottom"/>
          </w:tcPr>
          <w:p>
            <w:pPr>
              <w:jc w:val="right"/>
              <w:spacing w:after="0"/>
              <w:rPr>
                <w:sz w:val="20"/>
                <w:szCs w:val="20"/>
                <w:color w:val="auto"/>
              </w:rPr>
            </w:pPr>
            <w:r>
              <w:rPr>
                <w:rFonts w:ascii="Arial" w:cs="Arial" w:eastAsia="Arial" w:hAnsi="Arial"/>
                <w:sz w:val="14"/>
                <w:szCs w:val="14"/>
                <w:color w:val="auto"/>
              </w:rPr>
              <w:t>2,626</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2,543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Advances to suppliers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15,311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Deductible value added tax</w:t>
            </w:r>
          </w:p>
        </w:tc>
        <w:tc>
          <w:tcPr>
            <w:tcW w:w="860" w:type="dxa"/>
            <w:vAlign w:val="bottom"/>
          </w:tcPr>
          <w:p>
            <w:pPr>
              <w:jc w:val="right"/>
              <w:spacing w:after="0"/>
              <w:rPr>
                <w:sz w:val="20"/>
                <w:szCs w:val="20"/>
                <w:color w:val="auto"/>
              </w:rPr>
            </w:pPr>
            <w:r>
              <w:rPr>
                <w:rFonts w:ascii="Arial" w:cs="Arial" w:eastAsia="Arial" w:hAnsi="Arial"/>
                <w:sz w:val="14"/>
                <w:szCs w:val="14"/>
                <w:color w:val="auto"/>
              </w:rPr>
              <w:t>14,079</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6,173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Contract costs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30,746</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36,486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Deferred IPO costs</w:t>
            </w:r>
          </w:p>
        </w:tc>
        <w:tc>
          <w:tcPr>
            <w:tcW w:w="860" w:type="dxa"/>
            <w:vAlign w:val="bottom"/>
          </w:tcPr>
          <w:p>
            <w:pPr>
              <w:jc w:val="right"/>
              <w:spacing w:after="0"/>
              <w:rPr>
                <w:sz w:val="20"/>
                <w:szCs w:val="20"/>
                <w:color w:val="auto"/>
              </w:rPr>
            </w:pPr>
            <w:r>
              <w:rPr>
                <w:rFonts w:ascii="Arial" w:cs="Arial" w:eastAsia="Arial" w:hAnsi="Arial"/>
                <w:sz w:val="14"/>
                <w:szCs w:val="14"/>
                <w:color w:val="auto"/>
              </w:rPr>
              <w:t>15,196</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17,246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143,935</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154,566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22,103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1640" w:right="1398" w:hanging="225"/>
        <w:spacing w:after="0" w:line="256" w:lineRule="auto"/>
        <w:tabs>
          <w:tab w:leader="none" w:pos="1631" w:val="left"/>
        </w:tabs>
        <w:numPr>
          <w:ilvl w:val="0"/>
          <w:numId w:val="166"/>
        </w:numPr>
        <w:rPr>
          <w:rFonts w:ascii="Arial" w:cs="Arial" w:eastAsia="Arial" w:hAnsi="Arial"/>
          <w:sz w:val="11"/>
          <w:szCs w:val="11"/>
          <w:color w:val="auto"/>
        </w:rPr>
      </w:pPr>
      <w:r>
        <w:rPr>
          <w:rFonts w:ascii="Arial" w:cs="Arial" w:eastAsia="Arial" w:hAnsi="Arial"/>
          <w:sz w:val="11"/>
          <w:szCs w:val="11"/>
          <w:color w:val="auto"/>
        </w:rPr>
        <w:t>Balances primarily represent receivables from sellers for the sales price of the vehicle that will be collected by the Group, and to a lesser extent, receivables from sellers when auction transactions were cancelled, whereby the Group first returns the gross selling price to the buyers on behalf of the sellers.</w:t>
      </w:r>
    </w:p>
    <w:p>
      <w:pPr>
        <w:spacing w:after="0" w:line="64"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roll-forward of the allowance for credit losses for the years ended December 31, 2023, 2024 and 2025 consists of the following activity:</w:t>
      </w:r>
    </w:p>
    <w:p>
      <w:pPr>
        <w:sectPr>
          <w:pgSz w:w="11920" w:h="16838" w:orient="portrait"/>
          <w:cols w:equalWidth="0" w:num="1">
            <w:col w:w="9038"/>
          </w:cols>
          <w:pgMar w:left="1440" w:top="2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Balance at beginning of year</w:t>
      </w:r>
    </w:p>
    <w:p>
      <w:pPr>
        <w:spacing w:after="0" w:line="26" w:lineRule="exact"/>
        <w:rPr>
          <w:sz w:val="20"/>
          <w:szCs w:val="20"/>
          <w:color w:val="auto"/>
        </w:rPr>
      </w:pPr>
    </w:p>
    <w:p>
      <w:pPr>
        <w:ind w:left="1560" w:hanging="137"/>
        <w:spacing w:after="0" w:line="270" w:lineRule="auto"/>
        <w:rPr>
          <w:sz w:val="20"/>
          <w:szCs w:val="20"/>
          <w:color w:val="auto"/>
        </w:rPr>
      </w:pPr>
      <w:r>
        <w:rPr>
          <w:rFonts w:ascii="Arial" w:cs="Arial" w:eastAsia="Arial" w:hAnsi="Arial"/>
          <w:sz w:val="14"/>
          <w:szCs w:val="14"/>
          <w:color w:val="auto"/>
        </w:rPr>
        <w:t>Provision for (reversal of) expected credit losses</w:t>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Balance at end of year</w:t>
      </w:r>
    </w:p>
    <w:p>
      <w:pPr>
        <w:spacing w:after="0" w:line="21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6. RELATED PARTY TRANSACTIONS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100"/>
        <w:spacing w:after="0"/>
        <w:rPr>
          <w:sz w:val="20"/>
          <w:szCs w:val="20"/>
          <w:color w:val="auto"/>
        </w:rPr>
      </w:pPr>
      <w:r>
        <w:rPr>
          <w:rFonts w:ascii="Arial" w:cs="Arial" w:eastAsia="Arial" w:hAnsi="Arial"/>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206248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62480" cy="635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3"/>
                <w:szCs w:val="1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1"/>
                <w:szCs w:val="11"/>
                <w:b w:val="1"/>
                <w:bCs w:val="1"/>
                <w:color w:val="auto"/>
              </w:rPr>
              <w:t>2025</w:t>
            </w:r>
          </w:p>
        </w:tc>
      </w:tr>
      <w:tr>
        <w:trPr>
          <w:trHeight w:val="192"/>
        </w:trPr>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6"/>
                <w:szCs w:val="16"/>
                <w:color w:val="auto"/>
              </w:rPr>
            </w:pPr>
          </w:p>
        </w:tc>
        <w:tc>
          <w:tcPr>
            <w:tcW w:w="740" w:type="dxa"/>
            <w:vAlign w:val="bottom"/>
          </w:tcPr>
          <w:p>
            <w:pPr>
              <w:jc w:val="right"/>
              <w:ind w:right="20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1"/>
                <w:szCs w:val="11"/>
                <w:b w:val="1"/>
                <w:bCs w:val="1"/>
                <w:color w:val="auto"/>
              </w:rPr>
              <w:t>US$</w:t>
            </w:r>
          </w:p>
        </w:tc>
      </w:tr>
      <w:tr>
        <w:trPr>
          <w:trHeight w:val="212"/>
        </w:trPr>
        <w:tc>
          <w:tcPr>
            <w:tcW w:w="720" w:type="dxa"/>
            <w:vAlign w:val="bottom"/>
          </w:tcPr>
          <w:p>
            <w:pPr>
              <w:jc w:val="right"/>
              <w:spacing w:after="0"/>
              <w:rPr>
                <w:sz w:val="20"/>
                <w:szCs w:val="20"/>
                <w:color w:val="auto"/>
              </w:rPr>
            </w:pPr>
            <w:r>
              <w:rPr>
                <w:rFonts w:ascii="Arial" w:cs="Arial" w:eastAsia="Arial" w:hAnsi="Arial"/>
                <w:sz w:val="14"/>
                <w:szCs w:val="14"/>
                <w:color w:val="auto"/>
              </w:rPr>
              <w:t>15,207</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17,375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16,807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2,403</w:t>
            </w:r>
          </w:p>
        </w:tc>
      </w:tr>
      <w:tr>
        <w:trPr>
          <w:trHeight w:val="357"/>
        </w:trPr>
        <w:tc>
          <w:tcPr>
            <w:tcW w:w="720" w:type="dxa"/>
            <w:vAlign w:val="bottom"/>
          </w:tcPr>
          <w:p>
            <w:pPr>
              <w:jc w:val="right"/>
              <w:spacing w:after="0"/>
              <w:rPr>
                <w:sz w:val="20"/>
                <w:szCs w:val="20"/>
                <w:color w:val="auto"/>
              </w:rPr>
            </w:pPr>
            <w:r>
              <w:rPr>
                <w:rFonts w:ascii="Arial" w:cs="Arial" w:eastAsia="Arial" w:hAnsi="Arial"/>
                <w:sz w:val="14"/>
                <w:szCs w:val="14"/>
                <w:color w:val="auto"/>
              </w:rPr>
              <w:t>2,168</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(568)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91"/>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17,375</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17,114</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2,447</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-506730</wp:posOffset>
            </wp:positionV>
            <wp:extent cx="3953510" cy="138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953510" cy="13843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-151130</wp:posOffset>
            </wp:positionV>
            <wp:extent cx="3953510" cy="1384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953510" cy="138430"/>
                    </a:xfrm>
                    <a:prstGeom prst="rect">
                      <a:avLst/>
                    </a:prstGeom>
                    <a:noFill/>
                  </pic:spPr>
                </pic:pic>
              </a:graphicData>
            </a:graphic>
          </wp:anchor>
        </w:drawing>
      </w:r>
    </w:p>
    <w:p>
      <w:pPr>
        <w:spacing w:after="0" w:line="406" w:lineRule="exact"/>
        <w:rPr>
          <w:sz w:val="20"/>
          <w:szCs w:val="20"/>
          <w:color w:val="auto"/>
        </w:rPr>
      </w:pPr>
    </w:p>
    <w:p>
      <w:pPr>
        <w:sectPr>
          <w:pgSz w:w="11920" w:h="16838" w:orient="portrait"/>
          <w:cols w:equalWidth="0" w:num="2">
            <w:col w:w="3940" w:space="460"/>
            <w:col w:w="4638"/>
          </w:cols>
          <w:pgMar w:left="1440" w:top="230" w:right="1440" w:bottom="1440" w:gutter="0" w:footer="0" w:header="0"/>
          <w:type w:val="continuous"/>
        </w:sect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Group’s combined and consolidated financial statements include expenses allocated from the Predecessor, amounted to RMB1,068, RMB9,134 and RMB10,207 (US$1,460) for the years ended December 31, 2023, 2024 and 2025, respectively. See Note 1(b) for more detailed information. In addition, most of the historical financing conducted before the Restructuring and the proceeds from the historical financing transactions were held by the Predecessor, which then funded the Group’s operations through interest-free loans to the Company and its operating entities. The Predecessor waived such debts amounting to RMB64,113, nil and nil in the years ended December 31, 2023, 2024 and 2025, respectively, which is presented as non-cash financing activities in the Group’s combined and consolidated statements of cash flows.</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331" w:name="page332"/>
    <w:bookmarkEnd w:id="33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560" w:hanging="145"/>
        <w:spacing w:after="0"/>
        <w:tabs>
          <w:tab w:leader="none" w:pos="1560"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 (cont.)</w:t>
      </w:r>
    </w:p>
    <w:p>
      <w:pPr>
        <w:spacing w:after="0" w:line="129" w:lineRule="exact"/>
        <w:rPr>
          <w:rFonts w:ascii="Arial" w:cs="Arial" w:eastAsia="Arial" w:hAnsi="Arial"/>
          <w:sz w:val="14"/>
          <w:szCs w:val="14"/>
          <w:b w:val="1"/>
          <w:bCs w:val="1"/>
          <w:color w:val="auto"/>
        </w:rPr>
      </w:pPr>
    </w:p>
    <w:p>
      <w:pPr>
        <w:ind w:left="1900" w:hanging="236"/>
        <w:spacing w:after="0"/>
        <w:tabs>
          <w:tab w:leader="none" w:pos="1900" w:val="left"/>
        </w:tabs>
        <w:numPr>
          <w:ilvl w:val="1"/>
          <w:numId w:val="167"/>
        </w:numPr>
        <w:rPr>
          <w:rFonts w:ascii="Arial" w:cs="Arial" w:eastAsia="Arial" w:hAnsi="Arial"/>
          <w:sz w:val="14"/>
          <w:szCs w:val="14"/>
          <w:color w:val="auto"/>
        </w:rPr>
      </w:pPr>
      <w:r>
        <w:rPr>
          <w:rFonts w:ascii="Arial" w:cs="Arial" w:eastAsia="Arial" w:hAnsi="Arial"/>
          <w:sz w:val="14"/>
          <w:szCs w:val="14"/>
          <w:color w:val="auto"/>
        </w:rPr>
        <w:t>The table below sets forth the major related parties and their relationships with the Group:</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56"/>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the related parties</w:t>
            </w:r>
          </w:p>
        </w:tc>
        <w:tc>
          <w:tcPr>
            <w:tcW w:w="60" w:type="dxa"/>
            <w:vAlign w:val="bottom"/>
          </w:tcPr>
          <w:p>
            <w:pPr>
              <w:spacing w:after="0"/>
              <w:rPr>
                <w:sz w:val="13"/>
                <w:szCs w:val="13"/>
                <w:color w:val="auto"/>
              </w:rPr>
            </w:pPr>
          </w:p>
        </w:tc>
        <w:tc>
          <w:tcPr>
            <w:tcW w:w="3120" w:type="dxa"/>
            <w:vAlign w:val="bottom"/>
            <w:tcBorders>
              <w:bottom w:val="single" w:sz="8" w:color="auto"/>
            </w:tcBorders>
          </w:tcPr>
          <w:p>
            <w:pPr>
              <w:ind w:left="820"/>
              <w:spacing w:after="0"/>
              <w:rPr>
                <w:sz w:val="20"/>
                <w:szCs w:val="20"/>
                <w:color w:val="auto"/>
              </w:rPr>
            </w:pPr>
            <w:r>
              <w:rPr>
                <w:rFonts w:ascii="Arial" w:cs="Arial" w:eastAsia="Arial" w:hAnsi="Arial"/>
                <w:sz w:val="11"/>
                <w:szCs w:val="11"/>
                <w:b w:val="1"/>
                <w:bCs w:val="1"/>
                <w:color w:val="auto"/>
              </w:rPr>
              <w:t>Relationship with the Group</w:t>
            </w:r>
          </w:p>
        </w:tc>
      </w:tr>
      <w:tr>
        <w:trPr>
          <w:trHeight w:val="137"/>
        </w:trPr>
        <w:tc>
          <w:tcPr>
            <w:tcW w:w="3040" w:type="dxa"/>
            <w:vAlign w:val="bottom"/>
          </w:tcPr>
          <w:p>
            <w:pPr>
              <w:spacing w:after="0" w:line="137" w:lineRule="exact"/>
              <w:rPr>
                <w:sz w:val="20"/>
                <w:szCs w:val="20"/>
                <w:color w:val="auto"/>
              </w:rPr>
            </w:pPr>
            <w:r>
              <w:rPr>
                <w:rFonts w:ascii="Arial" w:cs="Arial" w:eastAsia="Arial" w:hAnsi="Arial"/>
                <w:sz w:val="14"/>
                <w:szCs w:val="14"/>
                <w:color w:val="auto"/>
              </w:rPr>
              <w:t>Souche Holdings Ltd. or entities controlled by</w:t>
            </w:r>
          </w:p>
        </w:tc>
        <w:tc>
          <w:tcPr>
            <w:tcW w:w="60" w:type="dxa"/>
            <w:vAlign w:val="bottom"/>
          </w:tcPr>
          <w:p>
            <w:pPr>
              <w:spacing w:after="0"/>
              <w:rPr>
                <w:sz w:val="11"/>
                <w:szCs w:val="11"/>
                <w:color w:val="auto"/>
              </w:rPr>
            </w:pPr>
          </w:p>
        </w:tc>
        <w:tc>
          <w:tcPr>
            <w:tcW w:w="3120" w:type="dxa"/>
            <w:vAlign w:val="bottom"/>
          </w:tcPr>
          <w:p>
            <w:pPr>
              <w:spacing w:after="0" w:line="137" w:lineRule="exact"/>
              <w:rPr>
                <w:sz w:val="20"/>
                <w:szCs w:val="20"/>
                <w:color w:val="auto"/>
              </w:rPr>
            </w:pPr>
            <w:r>
              <w:rPr>
                <w:rFonts w:ascii="Arial" w:cs="Arial" w:eastAsia="Arial" w:hAnsi="Arial"/>
                <w:sz w:val="14"/>
                <w:szCs w:val="14"/>
                <w:color w:val="auto"/>
              </w:rPr>
              <w:t>Predecessor</w:t>
            </w:r>
          </w:p>
        </w:tc>
      </w:tr>
      <w:tr>
        <w:trPr>
          <w:trHeight w:val="187"/>
        </w:trPr>
        <w:tc>
          <w:tcPr>
            <w:tcW w:w="3040" w:type="dxa"/>
            <w:vAlign w:val="bottom"/>
          </w:tcPr>
          <w:p>
            <w:pPr>
              <w:ind w:left="140"/>
              <w:spacing w:after="0"/>
              <w:rPr>
                <w:sz w:val="20"/>
                <w:szCs w:val="20"/>
                <w:color w:val="auto"/>
              </w:rPr>
            </w:pPr>
            <w:r>
              <w:rPr>
                <w:rFonts w:ascii="Arial" w:cs="Arial" w:eastAsia="Arial" w:hAnsi="Arial"/>
                <w:sz w:val="14"/>
                <w:szCs w:val="14"/>
                <w:color w:val="auto"/>
              </w:rPr>
              <w:t>Souche Holdings</w:t>
            </w:r>
          </w:p>
        </w:tc>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r>
    </w:tbl>
    <w:p>
      <w:pPr>
        <w:ind w:left="1420"/>
        <w:spacing w:after="0" w:line="225" w:lineRule="auto"/>
        <w:rPr>
          <w:sz w:val="20"/>
          <w:szCs w:val="20"/>
          <w:color w:val="auto"/>
        </w:rPr>
      </w:pPr>
      <w:r>
        <w:rPr>
          <w:rFonts w:ascii="Arial" w:cs="Arial" w:eastAsia="Arial" w:hAnsi="Arial"/>
          <w:sz w:val="14"/>
          <w:szCs w:val="14"/>
          <w:color w:val="auto"/>
        </w:rPr>
        <w:t>Guotai Dasouche (Tianjin) Financial Leasing Co.,  Equity method investee of the Predecessor</w:t>
      </w:r>
      <w:r>
        <w:rPr>
          <w:rFonts w:ascii="Arial" w:cs="Arial" w:eastAsia="Arial" w:hAnsi="Arial"/>
          <w:sz w:val="16"/>
          <w:szCs w:val="16"/>
          <w:color w:val="auto"/>
          <w:vertAlign w:val="superscript"/>
        </w:rPr>
        <w:t>(1)</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Ltd. (“Guotai Dasouche”)</w:t>
      </w:r>
    </w:p>
    <w:p>
      <w:pPr>
        <w:sectPr>
          <w:pgSz w:w="11920" w:h="16838" w:orient="portrait"/>
          <w:cols w:equalWidth="0" w:num="1">
            <w:col w:w="9038"/>
          </w:cols>
          <w:pgMar w:left="1440" w:top="230" w:right="1440" w:bottom="1440" w:gutter="0" w:footer="0" w:header="0"/>
        </w:sectPr>
      </w:pPr>
    </w:p>
    <w:p>
      <w:pPr>
        <w:spacing w:after="0" w:line="8"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Guangzhou Changji Technology Co., Ltd.</w:t>
      </w:r>
    </w:p>
    <w:p>
      <w:pPr>
        <w:spacing w:after="0" w:line="2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(“Guangzhou Changji”)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Equity method investee</w:t>
      </w:r>
    </w:p>
    <w:p>
      <w:pPr>
        <w:spacing w:after="0" w:line="237" w:lineRule="exact"/>
        <w:rPr>
          <w:sz w:val="20"/>
          <w:szCs w:val="20"/>
          <w:color w:val="auto"/>
        </w:rPr>
      </w:pPr>
    </w:p>
    <w:p>
      <w:pPr>
        <w:sectPr>
          <w:pgSz w:w="11920" w:h="16838" w:orient="portrait"/>
          <w:cols w:equalWidth="0" w:num="2">
            <w:col w:w="3940" w:space="580"/>
            <w:col w:w="4518"/>
          </w:cols>
          <w:pgMar w:left="1440" w:top="230" w:right="1440" w:bottom="1440" w:gutter="0" w:footer="0" w:header="0"/>
          <w:type w:val="continuous"/>
        </w:sectPr>
      </w:pPr>
    </w:p>
    <w:p>
      <w:pPr>
        <w:ind w:left="1420"/>
        <w:spacing w:after="0"/>
        <w:rPr>
          <w:sz w:val="20"/>
          <w:szCs w:val="20"/>
          <w:color w:val="auto"/>
        </w:rPr>
      </w:pPr>
      <w:r>
        <w:rPr>
          <w:rFonts w:ascii="Arial" w:cs="Arial" w:eastAsia="Arial" w:hAnsi="Arial"/>
          <w:sz w:val="12"/>
          <w:szCs w:val="12"/>
          <w:color w:val="auto"/>
        </w:rPr>
        <w:t>____________</w:t>
      </w:r>
    </w:p>
    <w:p>
      <w:pPr>
        <w:sectPr>
          <w:pgSz w:w="11920" w:h="16838" w:orient="portrait"/>
          <w:cols w:equalWidth="0" w:num="1">
            <w:col w:w="9038"/>
          </w:cols>
          <w:pgMar w:left="1440" w:top="230" w:right="1440" w:bottom="1440" w:gutter="0" w:footer="0" w:header="0"/>
          <w:type w:val="continuous"/>
        </w:sectPr>
      </w:pPr>
    </w:p>
    <w:p>
      <w:pPr>
        <w:spacing w:after="0" w:line="74" w:lineRule="exact"/>
        <w:rPr>
          <w:sz w:val="20"/>
          <w:szCs w:val="20"/>
          <w:color w:val="auto"/>
        </w:rPr>
      </w:pPr>
    </w:p>
    <w:p>
      <w:pPr>
        <w:jc w:val="both"/>
        <w:ind w:left="1640" w:right="1398" w:hanging="225"/>
        <w:spacing w:after="0" w:line="249" w:lineRule="auto"/>
        <w:tabs>
          <w:tab w:leader="none" w:pos="1637" w:val="left"/>
        </w:tabs>
        <w:numPr>
          <w:ilvl w:val="0"/>
          <w:numId w:val="168"/>
        </w:numPr>
        <w:rPr>
          <w:rFonts w:ascii="Arial" w:cs="Arial" w:eastAsia="Arial" w:hAnsi="Arial"/>
          <w:sz w:val="11"/>
          <w:szCs w:val="11"/>
          <w:color w:val="auto"/>
        </w:rPr>
      </w:pPr>
      <w:r>
        <w:rPr>
          <w:rFonts w:ascii="Arial" w:cs="Arial" w:eastAsia="Arial" w:hAnsi="Arial"/>
          <w:sz w:val="11"/>
          <w:szCs w:val="11"/>
          <w:color w:val="auto"/>
        </w:rPr>
        <w:t>Upon the completion of the Restructuring in June 2023, Guotai Dasouche was no longer a related party of the Group, hence the related party transactions with Guotai Dasouche for the year ended December 31, 2023 includes only transactions that occurred prior to the restructuring, and the balances due from/to Guotai Dasouche was no longer presented as amounts due from/to related parties.</w:t>
      </w:r>
    </w:p>
    <w:p>
      <w:pPr>
        <w:spacing w:after="0" w:line="78" w:lineRule="exact"/>
        <w:rPr>
          <w:rFonts w:ascii="Arial" w:cs="Arial" w:eastAsia="Arial" w:hAnsi="Arial"/>
          <w:sz w:val="11"/>
          <w:szCs w:val="11"/>
          <w:color w:val="auto"/>
        </w:rPr>
      </w:pPr>
    </w:p>
    <w:p>
      <w:pPr>
        <w:ind w:left="1900" w:hanging="236"/>
        <w:spacing w:after="0"/>
        <w:tabs>
          <w:tab w:leader="none" w:pos="190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The Group had the following transactions with the major related parties: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7"/>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20" w:type="dxa"/>
            <w:vAlign w:val="bottom"/>
          </w:tcPr>
          <w:p>
            <w:pPr>
              <w:jc w:val="right"/>
              <w:ind w:right="233"/>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Transaction services provided to:</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4"/>
                <w:szCs w:val="14"/>
                <w:color w:val="auto"/>
              </w:rPr>
              <w:t>Guotai Dasouche</w:t>
            </w:r>
          </w:p>
        </w:tc>
        <w:tc>
          <w:tcPr>
            <w:tcW w:w="620" w:type="dxa"/>
            <w:vAlign w:val="bottom"/>
          </w:tcPr>
          <w:p>
            <w:pPr>
              <w:jc w:val="right"/>
              <w:spacing w:after="0"/>
              <w:rPr>
                <w:sz w:val="20"/>
                <w:szCs w:val="20"/>
                <w:color w:val="auto"/>
              </w:rPr>
            </w:pPr>
            <w:r>
              <w:rPr>
                <w:rFonts w:ascii="Arial" w:cs="Arial" w:eastAsia="Arial" w:hAnsi="Arial"/>
                <w:sz w:val="14"/>
                <w:szCs w:val="14"/>
                <w:color w:val="auto"/>
              </w:rPr>
              <w:t>70,390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Predecessor</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36,717</w:t>
            </w:r>
          </w:p>
        </w:tc>
        <w:tc>
          <w:tcPr>
            <w:tcW w:w="8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20,678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61,489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4"/>
                <w:szCs w:val="14"/>
                <w:color w:val="auto"/>
              </w:rPr>
              <w:t>Guangzhou Changji</w:t>
            </w:r>
            <w:r>
              <w:rPr>
                <w:rFonts w:ascii="Arial" w:cs="Arial" w:eastAsia="Arial" w:hAnsi="Arial"/>
                <w:sz w:val="16"/>
                <w:szCs w:val="16"/>
                <w:color w:val="auto"/>
                <w:vertAlign w:val="superscript"/>
              </w:rPr>
              <w:t>(i)</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(1,405)</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color w:val="auto"/>
              </w:rPr>
              <w:t>649</w:t>
            </w:r>
          </w:p>
        </w:tc>
        <w:tc>
          <w:tcPr>
            <w:tcW w:w="740" w:type="dxa"/>
            <w:vAlign w:val="bottom"/>
          </w:tcPr>
          <w:p>
            <w:pPr>
              <w:jc w:val="right"/>
              <w:spacing w:after="0"/>
              <w:rPr>
                <w:sz w:val="20"/>
                <w:szCs w:val="20"/>
                <w:color w:val="auto"/>
              </w:rPr>
            </w:pPr>
            <w:r>
              <w:rPr>
                <w:rFonts w:ascii="Arial" w:cs="Arial" w:eastAsia="Arial" w:hAnsi="Arial"/>
                <w:sz w:val="14"/>
                <w:szCs w:val="14"/>
                <w:color w:val="auto"/>
              </w:rPr>
              <w:t>699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105,702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21,327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62,188</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8,893</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Services received from:</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20"/>
                <w:szCs w:val="20"/>
                <w:color w:val="auto"/>
              </w:rPr>
            </w:pPr>
            <w:r>
              <w:rPr>
                <w:rFonts w:ascii="Arial" w:cs="Arial" w:eastAsia="Arial" w:hAnsi="Arial"/>
                <w:sz w:val="14"/>
                <w:szCs w:val="14"/>
                <w:color w:val="auto"/>
              </w:rPr>
              <w:t>Guotai Dasouche</w:t>
            </w:r>
          </w:p>
        </w:tc>
        <w:tc>
          <w:tcPr>
            <w:tcW w:w="620" w:type="dxa"/>
            <w:vAlign w:val="bottom"/>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Predecessor</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93,604</w:t>
            </w:r>
          </w:p>
        </w:tc>
        <w:tc>
          <w:tcPr>
            <w:tcW w:w="8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112,593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51,984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7,434</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20"/>
                <w:szCs w:val="20"/>
                <w:color w:val="auto"/>
              </w:rPr>
            </w:pPr>
            <w:r>
              <w:rPr>
                <w:rFonts w:ascii="Arial" w:cs="Arial" w:eastAsia="Arial" w:hAnsi="Arial"/>
                <w:sz w:val="14"/>
                <w:szCs w:val="14"/>
                <w:color w:val="auto"/>
              </w:rPr>
              <w:t>Guangzhou Changji</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color w:val="auto"/>
              </w:rPr>
              <w:t>866</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93,950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113,459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51,984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7,434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line="127" w:lineRule="exact"/>
              <w:rPr>
                <w:sz w:val="20"/>
                <w:szCs w:val="20"/>
                <w:color w:val="auto"/>
              </w:rPr>
            </w:pPr>
            <w:r>
              <w:rPr>
                <w:rFonts w:ascii="Arial" w:cs="Arial" w:eastAsia="Arial" w:hAnsi="Arial"/>
                <w:sz w:val="14"/>
                <w:szCs w:val="14"/>
                <w:b w:val="1"/>
                <w:bCs w:val="1"/>
                <w:color w:val="auto"/>
              </w:rPr>
              <w:t>(Loss)/Gain from disposal of subsidiaries</w:t>
            </w: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9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98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and long-term investments to</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40"/>
              <w:spacing w:after="0"/>
              <w:rPr>
                <w:sz w:val="20"/>
                <w:szCs w:val="20"/>
                <w:color w:val="auto"/>
              </w:rPr>
            </w:pPr>
            <w:r>
              <w:rPr>
                <w:rFonts w:ascii="Arial" w:cs="Arial" w:eastAsia="Arial" w:hAnsi="Arial"/>
                <w:sz w:val="14"/>
                <w:szCs w:val="14"/>
                <w:b w:val="1"/>
                <w:bCs w:val="1"/>
                <w:color w:val="auto"/>
              </w:rPr>
              <w:t>Predecessor</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(1,029)</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29,802</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1,995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Contribution from Predecessor through</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9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waiver of debt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64,113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(i)  The negative amounts represent negative revenue resulting from excess rebates paid over revenue earned.</w:t>
      </w:r>
    </w:p>
    <w:p>
      <w:pPr>
        <w:spacing w:after="0" w:line="104"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In 2023, The Group disposed certain subsidiaries and long-term investments to the Predecessor for a total cash consideration of RMB7,491 (US$1,071) and recorded a net loss of RMB1,029 (US$147) as “Others, net.”</w:t>
      </w:r>
    </w:p>
    <w:p>
      <w:pPr>
        <w:spacing w:after="0" w:line="6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November 2024, the Group entered into a series of agreements with Zhejiang Dasouche Boxin Auto Sales Co., Ltd. (the “Acquirer”), a wholly owned subsidiary of Souche Holdings Ltd. (the Predecessor and a related party of the Group who previously transferred the transaction services, including financial product referral services, to the Company as part of the Restructuring), to sell all of equity interests in the PRC entities operating financial product referral services (the “Disposition”) for a total cash consideration of RMB180,300 (US$25,783). As a result, the Company derecognized</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type w:val="continuous"/>
        </w:sectPr>
      </w:pPr>
    </w:p>
    <w:bookmarkStart w:id="332" w:name="page333"/>
    <w:bookmarkEnd w:id="33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6. RELATED PARTY TRANSACTIONS (cont.)</w:t>
      </w:r>
    </w:p>
    <w:p>
      <w:pPr>
        <w:spacing w:after="0" w:line="130" w:lineRule="exact"/>
        <w:rPr>
          <w:sz w:val="20"/>
          <w:szCs w:val="20"/>
          <w:color w:val="auto"/>
        </w:rPr>
      </w:pPr>
    </w:p>
    <w:p>
      <w:pPr>
        <w:jc w:val="both"/>
        <w:ind w:left="1420" w:right="1398"/>
        <w:spacing w:after="0" w:line="270" w:lineRule="auto"/>
        <w:rPr>
          <w:sz w:val="20"/>
          <w:szCs w:val="20"/>
          <w:color w:val="auto"/>
        </w:rPr>
      </w:pPr>
      <w:r>
        <w:rPr>
          <w:rFonts w:ascii="Arial" w:cs="Arial" w:eastAsia="Arial" w:hAnsi="Arial"/>
          <w:sz w:val="13"/>
          <w:szCs w:val="13"/>
          <w:color w:val="auto"/>
        </w:rPr>
        <w:t>RMB150,498 (US$21,521) net assets related to the financial product referral services, which included allocated goodwill of RMB52,983 (US$7,577) upon the closing of the Disposition in December 2024. The Group allocated goodwill to the financial product referral services based on the relative fair value of the disposed business compared to the reporting unit to which goodwill was assigned.</w:t>
      </w:r>
    </w:p>
    <w:p>
      <w:pPr>
        <w:spacing w:after="0" w:line="6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Group recorded disposal gain of RMB29,802 (US$4,262) in “Others, net” in the consolidated statements of comprehensive loss for the year ended December 31, 2024. The Disposition did not meet the definition of a discontinued operation in accordance with ASC 205-20 as it did not represent a strategic shift in the Group’s strategy that had (or will have) a major effect on an entity’s operations and financial results.</w:t>
      </w:r>
    </w:p>
    <w:p>
      <w:pPr>
        <w:spacing w:after="0" w:line="7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3)  The Group had the following related party balances with the major related parties: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8"/>
                <w:szCs w:val="18"/>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860" w:type="dxa"/>
            <w:vAlign w:val="bottom"/>
          </w:tcPr>
          <w:p>
            <w:pPr>
              <w:jc w:val="right"/>
              <w:ind w:right="23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5"/>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due from related parties, current:</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4"/>
                <w:szCs w:val="14"/>
                <w:color w:val="auto"/>
              </w:rPr>
              <w:t>Predecessor</w:t>
            </w:r>
            <w:r>
              <w:rPr>
                <w:rFonts w:ascii="Arial" w:cs="Arial" w:eastAsia="Arial" w:hAnsi="Arial"/>
                <w:sz w:val="16"/>
                <w:szCs w:val="16"/>
                <w:color w:val="auto"/>
                <w:vertAlign w:val="superscript"/>
              </w:rPr>
              <w:t>(i)</w:t>
            </w:r>
          </w:p>
        </w:tc>
        <w:tc>
          <w:tcPr>
            <w:tcW w:w="860" w:type="dxa"/>
            <w:vAlign w:val="bottom"/>
          </w:tcPr>
          <w:p>
            <w:pPr>
              <w:jc w:val="right"/>
              <w:spacing w:after="0"/>
              <w:rPr>
                <w:sz w:val="20"/>
                <w:szCs w:val="20"/>
                <w:color w:val="auto"/>
              </w:rPr>
            </w:pPr>
            <w:r>
              <w:rPr>
                <w:rFonts w:ascii="Arial" w:cs="Arial" w:eastAsia="Arial" w:hAnsi="Arial"/>
                <w:sz w:val="14"/>
                <w:szCs w:val="14"/>
                <w:color w:val="auto"/>
              </w:rPr>
              <w:t>44,367</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84,618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45,208</w:t>
            </w: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84,626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12,101</w:t>
            </w:r>
          </w:p>
        </w:tc>
        <w:tc>
          <w:tcPr>
            <w:tcW w:w="0" w:type="dxa"/>
            <w:vAlign w:val="bottom"/>
          </w:tcPr>
          <w:p>
            <w:pPr>
              <w:spacing w:after="0"/>
              <w:rPr>
                <w:sz w:val="1"/>
                <w:szCs w:val="1"/>
                <w:color w:val="auto"/>
              </w:rPr>
            </w:pPr>
          </w:p>
        </w:tc>
      </w:tr>
      <w:tr>
        <w:trPr>
          <w:trHeight w:val="189"/>
        </w:trPr>
        <w:tc>
          <w:tcPr>
            <w:tcW w:w="3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Amounts due from related parties, non-current: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Predecessor</w:t>
            </w:r>
            <w:r>
              <w:rPr>
                <w:rFonts w:ascii="Arial" w:cs="Arial" w:eastAsia="Arial" w:hAnsi="Arial"/>
                <w:sz w:val="16"/>
                <w:szCs w:val="16"/>
                <w:color w:val="auto"/>
                <w:vertAlign w:val="superscript"/>
              </w:rPr>
              <w:t>(ii)</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211,519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132,716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211,519</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132,716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18,978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ind w:left="1640" w:right="1398" w:hanging="225"/>
        <w:spacing w:after="0" w:line="249" w:lineRule="auto"/>
        <w:tabs>
          <w:tab w:leader="none" w:pos="160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The balances mainly represent amounts due from the Predecessor for transaction services, such as delivery services, used car inspection and certification services and other management and administrative support services.</w:t>
      </w:r>
    </w:p>
    <w:p>
      <w:pPr>
        <w:jc w:val="both"/>
        <w:ind w:left="1640" w:right="1398" w:hanging="225"/>
        <w:spacing w:after="0" w:line="243" w:lineRule="auto"/>
        <w:tabs>
          <w:tab w:leader="none" w:pos="1644" w:val="left"/>
        </w:tabs>
        <w:numPr>
          <w:ilvl w:val="0"/>
          <w:numId w:val="169"/>
        </w:numPr>
        <w:rPr>
          <w:rFonts w:ascii="Arial" w:cs="Arial" w:eastAsia="Arial" w:hAnsi="Arial"/>
          <w:sz w:val="11"/>
          <w:szCs w:val="11"/>
          <w:color w:val="auto"/>
        </w:rPr>
      </w:pPr>
      <w:r>
        <w:rPr>
          <w:rFonts w:ascii="Arial" w:cs="Arial" w:eastAsia="Arial" w:hAnsi="Arial"/>
          <w:sz w:val="11"/>
          <w:szCs w:val="11"/>
          <w:color w:val="auto"/>
        </w:rPr>
        <w:t>The balances represent amounts arising from non-trade interest-free loans lent to the Predecessor, and included the consideration receivable from the Disposition of RMB180,300 and RMB103,473 (US$14,796) as of December 31, 2024 and 2025.</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7"/>
                <w:szCs w:val="17"/>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5"/>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Amounts due to related parties, current:</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4"/>
                <w:szCs w:val="14"/>
                <w:color w:val="auto"/>
              </w:rPr>
              <w:t>Predecessor</w:t>
            </w:r>
            <w:r>
              <w:rPr>
                <w:rFonts w:ascii="Arial" w:cs="Arial" w:eastAsia="Arial" w:hAnsi="Arial"/>
                <w:sz w:val="16"/>
                <w:szCs w:val="16"/>
                <w:color w:val="auto"/>
                <w:vertAlign w:val="superscript"/>
              </w:rPr>
              <w:t>(i)</w:t>
            </w:r>
          </w:p>
        </w:tc>
        <w:tc>
          <w:tcPr>
            <w:tcW w:w="860" w:type="dxa"/>
            <w:vAlign w:val="bottom"/>
          </w:tcPr>
          <w:p>
            <w:pPr>
              <w:jc w:val="right"/>
              <w:spacing w:after="0"/>
              <w:rPr>
                <w:sz w:val="20"/>
                <w:szCs w:val="20"/>
                <w:color w:val="auto"/>
              </w:rPr>
            </w:pPr>
            <w:r>
              <w:rPr>
                <w:rFonts w:ascii="Arial" w:cs="Arial" w:eastAsia="Arial" w:hAnsi="Arial"/>
                <w:sz w:val="14"/>
                <w:szCs w:val="14"/>
                <w:color w:val="auto"/>
              </w:rPr>
              <w:t>1,752</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3,433</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Amounts due to related parties, non-current: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Predecessor</w:t>
            </w:r>
            <w:r>
              <w:rPr>
                <w:rFonts w:ascii="Arial" w:cs="Arial" w:eastAsia="Arial" w:hAnsi="Arial"/>
                <w:sz w:val="16"/>
                <w:szCs w:val="16"/>
                <w:color w:val="auto"/>
                <w:vertAlign w:val="superscript"/>
              </w:rPr>
              <w:t>(i)</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279,536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282,998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40,468</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279,536</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282,998</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40,468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74"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(i)  The balances represent amounts arising from non-trade interest-free loans provided by the Predecessor.</w:t>
      </w:r>
    </w:p>
    <w:p>
      <w:pPr>
        <w:spacing w:after="0" w:line="135"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3" w:name="page334"/>
    <w:bookmarkEnd w:id="33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7. FIXED ASSETS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Fixed assets consist of the following:</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As of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08"/>
        </w:trPr>
        <w:tc>
          <w:tcPr>
            <w:tcW w:w="3420" w:type="dxa"/>
            <w:vAlign w:val="bottom"/>
          </w:tcPr>
          <w:p>
            <w:pPr>
              <w:spacing w:after="0"/>
              <w:rPr>
                <w:sz w:val="18"/>
                <w:szCs w:val="18"/>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8"/>
        </w:trPr>
        <w:tc>
          <w:tcPr>
            <w:tcW w:w="34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US$</w:t>
            </w: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Computer and electronic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17,959</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2,244</w:t>
            </w: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Office equipment</w:t>
            </w:r>
          </w:p>
        </w:tc>
        <w:tc>
          <w:tcPr>
            <w:tcW w:w="760" w:type="dxa"/>
            <w:vAlign w:val="bottom"/>
          </w:tcPr>
          <w:p>
            <w:pPr>
              <w:jc w:val="right"/>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Motor vehicles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w:t>
            </w: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760" w:type="dxa"/>
            <w:vAlign w:val="bottom"/>
          </w:tcPr>
          <w:p>
            <w:pPr>
              <w:jc w:val="right"/>
              <w:spacing w:after="0"/>
              <w:rPr>
                <w:sz w:val="20"/>
                <w:szCs w:val="20"/>
                <w:color w:val="auto"/>
              </w:rPr>
            </w:pPr>
            <w:r>
              <w:rPr>
                <w:rFonts w:ascii="Arial" w:cs="Arial" w:eastAsia="Arial" w:hAnsi="Arial"/>
                <w:sz w:val="14"/>
                <w:szCs w:val="14"/>
                <w:color w:val="auto"/>
              </w:rPr>
              <w:t>16,748</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874</w:t>
            </w:r>
          </w:p>
        </w:tc>
      </w:tr>
      <w:tr>
        <w:trPr>
          <w:trHeight w:val="223"/>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(31,992)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(3,694)</w:t>
            </w:r>
          </w:p>
        </w:tc>
      </w:tr>
      <w:tr>
        <w:trPr>
          <w:trHeight w:val="191"/>
        </w:trPr>
        <w:tc>
          <w:tcPr>
            <w:tcW w:w="34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Depreciation expenses for the years ended December 31, 2023, 2024 and 2025 were RMB7,338, RMB4,146 and RMB2,928 (US$418), respectively.</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8. INTANGIBLE ASSETS</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Intangible assets consist of the following:</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As of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08"/>
        </w:trPr>
        <w:tc>
          <w:tcPr>
            <w:tcW w:w="3420" w:type="dxa"/>
            <w:vAlign w:val="bottom"/>
          </w:tcPr>
          <w:p>
            <w:pPr>
              <w:spacing w:after="0"/>
              <w:rPr>
                <w:sz w:val="18"/>
                <w:szCs w:val="18"/>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8"/>
        </w:trPr>
        <w:tc>
          <w:tcPr>
            <w:tcW w:w="34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US$</w:t>
            </w: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Customer relationships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772</w:t>
            </w: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Software</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46,207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52,791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7,549</w:t>
            </w: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Brands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222,300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222,614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31,833</w:t>
            </w:r>
          </w:p>
        </w:tc>
      </w:tr>
      <w:tr>
        <w:trPr>
          <w:trHeight w:val="214"/>
        </w:trPr>
        <w:tc>
          <w:tcPr>
            <w:tcW w:w="342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(193,218)</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(216,397)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(30,944)</w:t>
            </w:r>
          </w:p>
        </w:tc>
      </w:tr>
      <w:tr>
        <w:trPr>
          <w:trHeight w:val="191"/>
        </w:trPr>
        <w:tc>
          <w:tcPr>
            <w:tcW w:w="342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80,689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Amortization expenses for the years ended December 31, 2023, 2024 and 2025 were RMB27,130, RMB22,330 and RMB23,179 (US$3,315), respectively. No impairment charge was recognized in any period presented.</w:t>
      </w:r>
    </w:p>
    <w:p>
      <w:pPr>
        <w:spacing w:after="0" w:line="7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amortization expenses relating to intangible assets for each of the five succeeding fiscal years and thereafter are as follows:</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Year ending December 31,</w:t>
            </w:r>
          </w:p>
        </w:tc>
        <w:tc>
          <w:tcPr>
            <w:tcW w:w="2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RMB</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US$</w:t>
            </w:r>
          </w:p>
        </w:tc>
      </w:tr>
      <w:tr>
        <w:trPr>
          <w:trHeight w:val="204"/>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23,969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3,428</w:t>
            </w:r>
          </w:p>
        </w:tc>
      </w:tr>
      <w:tr>
        <w:trPr>
          <w:trHeight w:val="209"/>
        </w:trPr>
        <w:tc>
          <w:tcPr>
            <w:tcW w:w="2160" w:type="dxa"/>
            <w:vAlign w:val="bottom"/>
          </w:tcPr>
          <w:p>
            <w:pPr>
              <w:spacing w:after="0"/>
              <w:rPr>
                <w:sz w:val="20"/>
                <w:szCs w:val="20"/>
                <w:color w:val="auto"/>
              </w:rPr>
            </w:pPr>
            <w:r>
              <w:rPr>
                <w:rFonts w:ascii="Arial" w:cs="Arial" w:eastAsia="Arial" w:hAnsi="Arial"/>
                <w:sz w:val="14"/>
                <w:szCs w:val="14"/>
                <w:color w:val="auto"/>
              </w:rPr>
              <w:t>2027</w:t>
            </w:r>
          </w:p>
        </w:tc>
        <w:tc>
          <w:tcPr>
            <w:tcW w:w="3020" w:type="dxa"/>
            <w:vAlign w:val="bottom"/>
            <w:gridSpan w:val="3"/>
          </w:tcPr>
          <w:p>
            <w:pPr>
              <w:jc w:val="right"/>
              <w:spacing w:after="0"/>
              <w:rPr>
                <w:sz w:val="20"/>
                <w:szCs w:val="20"/>
                <w:color w:val="auto"/>
              </w:rPr>
            </w:pPr>
            <w:r>
              <w:rPr>
                <w:rFonts w:ascii="Arial" w:cs="Arial" w:eastAsia="Arial" w:hAnsi="Arial"/>
                <w:sz w:val="14"/>
                <w:szCs w:val="14"/>
                <w:color w:val="auto"/>
              </w:rPr>
              <w:t>23,003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3,289</w:t>
            </w:r>
          </w:p>
        </w:tc>
      </w:tr>
      <w:tr>
        <w:trPr>
          <w:trHeight w:val="227"/>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2028</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16,388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2,343</w:t>
            </w:r>
          </w:p>
        </w:tc>
      </w:tr>
      <w:tr>
        <w:trPr>
          <w:trHeight w:val="209"/>
        </w:trPr>
        <w:tc>
          <w:tcPr>
            <w:tcW w:w="2160" w:type="dxa"/>
            <w:vAlign w:val="bottom"/>
          </w:tcPr>
          <w:p>
            <w:pPr>
              <w:spacing w:after="0"/>
              <w:rPr>
                <w:sz w:val="20"/>
                <w:szCs w:val="20"/>
                <w:color w:val="auto"/>
              </w:rPr>
            </w:pPr>
            <w:r>
              <w:rPr>
                <w:rFonts w:ascii="Arial" w:cs="Arial" w:eastAsia="Arial" w:hAnsi="Arial"/>
                <w:sz w:val="14"/>
                <w:szCs w:val="14"/>
                <w:color w:val="auto"/>
              </w:rPr>
              <w:t>2029</w:t>
            </w:r>
          </w:p>
        </w:tc>
        <w:tc>
          <w:tcPr>
            <w:tcW w:w="3020" w:type="dxa"/>
            <w:vAlign w:val="bottom"/>
            <w:gridSpan w:val="3"/>
          </w:tcPr>
          <w:p>
            <w:pPr>
              <w:jc w:val="right"/>
              <w:spacing w:after="0"/>
              <w:rPr>
                <w:sz w:val="20"/>
                <w:szCs w:val="20"/>
                <w:color w:val="auto"/>
              </w:rPr>
            </w:pPr>
            <w:r>
              <w:rPr>
                <w:rFonts w:ascii="Arial" w:cs="Arial" w:eastAsia="Arial" w:hAnsi="Arial"/>
                <w:sz w:val="14"/>
                <w:szCs w:val="14"/>
                <w:color w:val="auto"/>
              </w:rPr>
              <w:t>761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109</w:t>
            </w:r>
          </w:p>
        </w:tc>
      </w:tr>
      <w:tr>
        <w:trPr>
          <w:trHeight w:val="227"/>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2030</w:t>
            </w:r>
          </w:p>
        </w:tc>
        <w:tc>
          <w:tcPr>
            <w:tcW w:w="3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14"/>
        </w:trPr>
        <w:tc>
          <w:tcPr>
            <w:tcW w:w="2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2140" w:type="dxa"/>
            <w:vAlign w:val="bottom"/>
            <w:tcBorders>
              <w:bottom w:val="single" w:sz="8" w:color="CCEEFF"/>
            </w:tcBorders>
            <w:gridSpan w:val="2"/>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1"/>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64,408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9,210</w:t>
            </w:r>
          </w:p>
        </w:tc>
      </w:tr>
      <w:tr>
        <w:trPr>
          <w:trHeight w:val="20"/>
        </w:trPr>
        <w:tc>
          <w:tcPr>
            <w:tcW w:w="21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2"/>
        </w:trPr>
        <w:tc>
          <w:tcPr>
            <w:tcW w:w="21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3"/>
          </w:tcPr>
          <w:p>
            <w:pPr>
              <w:jc w:val="right"/>
              <w:ind w:right="1855"/>
              <w:spacing w:after="0"/>
              <w:rPr>
                <w:sz w:val="20"/>
                <w:szCs w:val="20"/>
                <w:color w:val="auto"/>
              </w:rPr>
            </w:pPr>
            <w:r>
              <w:rPr>
                <w:rFonts w:ascii="Arial" w:cs="Arial" w:eastAsia="Arial" w:hAnsi="Arial"/>
                <w:sz w:val="14"/>
                <w:szCs w:val="14"/>
                <w:color w:val="auto"/>
              </w:rPr>
              <w:t>F-36</w:t>
            </w: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bl>
    <w:p>
      <w:pPr>
        <w:sectPr>
          <w:pgSz w:w="11920" w:h="16838" w:orient="portrait"/>
          <w:cols w:equalWidth="0" w:num="1">
            <w:col w:w="9038"/>
          </w:cols>
          <w:pgMar w:left="1440" w:top="230" w:right="1440" w:bottom="1440" w:gutter="0" w:footer="0" w:header="0"/>
        </w:sectPr>
      </w:pPr>
    </w:p>
    <w:bookmarkStart w:id="334" w:name="page335"/>
    <w:bookmarkEnd w:id="33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9. LONG-TERM INVESTMENTS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Group’s long-term investments consist of the following:</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b w:val="1"/>
                <w:bCs w:val="1"/>
                <w:color w:val="auto"/>
              </w:rPr>
              <w:t>2024</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940" w:type="dxa"/>
            <w:vAlign w:val="bottom"/>
          </w:tcPr>
          <w:p>
            <w:pPr>
              <w:jc w:val="right"/>
              <w:ind w:right="316"/>
              <w:spacing w:after="0"/>
              <w:rPr>
                <w:sz w:val="20"/>
                <w:szCs w:val="20"/>
                <w:color w:val="auto"/>
              </w:rPr>
            </w:pPr>
            <w:r>
              <w:rPr>
                <w:rFonts w:ascii="Arial" w:cs="Arial" w:eastAsia="Arial" w:hAnsi="Arial"/>
                <w:sz w:val="11"/>
                <w:szCs w:val="11"/>
                <w:b w:val="1"/>
                <w:bCs w:val="1"/>
                <w:color w:val="auto"/>
              </w:rPr>
              <w:t>RMB</w:t>
            </w: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6"/>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Equity-method investments</w:t>
            </w: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6,822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7,570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Arial" w:cs="Arial" w:eastAsia="Arial" w:hAnsi="Arial"/>
                <w:sz w:val="14"/>
                <w:szCs w:val="14"/>
                <w:color w:val="auto"/>
              </w:rPr>
              <w:t>Equity investments using the measurement alternative</w:t>
            </w:r>
          </w:p>
        </w:tc>
        <w:tc>
          <w:tcPr>
            <w:tcW w:w="940" w:type="dxa"/>
            <w:vAlign w:val="bottom"/>
          </w:tcPr>
          <w:p>
            <w:pPr>
              <w:jc w:val="right"/>
              <w:ind w:right="16"/>
              <w:spacing w:after="0"/>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 long-term investments</w:t>
            </w: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20" w:type="dxa"/>
            <w:vAlign w:val="bottom"/>
            <w:vMerge w:val="continue"/>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6,835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7,572</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2021, The Group’s acquired 51% equity interest in Guangzhou Changji. Pursuant to the memorandum of association and the articles of Guangzhou Changji, all shareholders must agree on all major decisions. Hence, the Group does not have control over Guangzhou Changji. The Group accounts for such investment as an equity method investment.</w:t>
      </w:r>
    </w:p>
    <w:p>
      <w:pPr>
        <w:spacing w:after="0" w:line="7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May 2021, the Group acquired 10% equity interest in Chengyi (Guangzhou) Technology Development Co., Ltd. for a cash consideration of RMB7,500, which was subsequently sold to the Predecessor in 2023 for a cash consideration of RMB5,238. The investment is accounted for as an equity investment without readily determinable fair value as the shares are not in-substance common stock.</w:t>
      </w:r>
    </w:p>
    <w:p>
      <w:pPr>
        <w:spacing w:after="0" w:line="74" w:lineRule="exact"/>
        <w:rPr>
          <w:sz w:val="20"/>
          <w:szCs w:val="20"/>
          <w:color w:val="auto"/>
        </w:rPr>
      </w:pPr>
    </w:p>
    <w:p>
      <w:pPr>
        <w:jc w:val="both"/>
        <w:ind w:left="1420" w:right="1398" w:firstLine="249"/>
        <w:spacing w:after="0" w:line="264" w:lineRule="auto"/>
        <w:rPr>
          <w:sz w:val="20"/>
          <w:szCs w:val="20"/>
          <w:color w:val="auto"/>
        </w:rPr>
      </w:pPr>
      <w:r>
        <w:rPr>
          <w:rFonts w:ascii="Arial" w:cs="Arial" w:eastAsia="Arial" w:hAnsi="Arial"/>
          <w:sz w:val="13"/>
          <w:szCs w:val="13"/>
          <w:color w:val="auto"/>
        </w:rPr>
        <w:t>In November 2024, the Group disposed of 16% equity interest in Guangzhou Changji for a cash consideration of RMB3,229 and recognized a disposal loss of RMB796 (US$114) in “Others, net” in the combined and consolidated statement of comprehensive loss for the year ended December 31, 2024. The Group continues to account for its investment in Guangzhou Changji as an equity method investment as it retains 35% equity interest in Guangzhou Changji and maintains significant influence.</w:t>
      </w:r>
    </w:p>
    <w:p>
      <w:pPr>
        <w:spacing w:after="0" w:line="7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No impairment losses were recognized for long-term investments for all periods presented.</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10. LEASES</w:t>
      </w:r>
    </w:p>
    <w:p>
      <w:pPr>
        <w:spacing w:after="0" w:line="109"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Group’s operating leases mainly related to warehouses and offices facilities. The Group has no finance leases as of December 31, 2024 and 2025. The Group terminated certain long-term lease contracts in 2024 and derecognized related right-of-use assets and lease liabilities. Loss from early termination was immaterial. In addition, upon disposal of certain subsidiaries with long-term lease contracts in 2023, the Group derecognized related right-of-use assets and lease liabilities. As of December 31, 2024, the weighted average remaining lease term was 4.2 years and weighted average discount rate was 4.1% for the Group’s operating leases. As of December 31, 2025, the weighted average remaining lease term was 1.4 years and weighted average discount rate was 3.9% for the Group’s operating leases.</w:t>
      </w:r>
    </w:p>
    <w:p>
      <w:pPr>
        <w:spacing w:after="0" w:line="7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Operating lease expenses were RMB17,681, RMB11,937 and RMB6,019 (US$861) for the years ended December 31, 2023, 2024 and 2025, respectively, which excluded short-term lease expenses. Short-term lease expenses were RMB29,717, RMB32,141 and RMB22,306 (US$3,190) for the years ended December 31, 2023, 2024 and 2025, respectively. For the years ended December 31, 2023, 2024 and 2025, no lease expenses for operating leases were capitalized.</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5" w:name="page336"/>
    <w:bookmarkEnd w:id="33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40" w:hanging="225"/>
        <w:spacing w:after="0"/>
        <w:tabs>
          <w:tab w:leader="none" w:pos="1640" w:val="left"/>
        </w:tabs>
        <w:numPr>
          <w:ilvl w:val="0"/>
          <w:numId w:val="170"/>
        </w:numPr>
        <w:rPr>
          <w:rFonts w:ascii="Arial" w:cs="Arial" w:eastAsia="Arial" w:hAnsi="Arial"/>
          <w:sz w:val="14"/>
          <w:szCs w:val="14"/>
          <w:b w:val="1"/>
          <w:bCs w:val="1"/>
          <w:color w:val="auto"/>
        </w:rPr>
      </w:pPr>
      <w:r>
        <w:rPr>
          <w:rFonts w:ascii="Arial" w:cs="Arial" w:eastAsia="Arial" w:hAnsi="Arial"/>
          <w:sz w:val="14"/>
          <w:szCs w:val="14"/>
          <w:b w:val="1"/>
          <w:bCs w:val="1"/>
          <w:color w:val="auto"/>
        </w:rPr>
        <w:t>LEASES (cont.)</w:t>
      </w:r>
    </w:p>
    <w:p>
      <w:pPr>
        <w:spacing w:after="0" w:line="129" w:lineRule="exact"/>
        <w:rPr>
          <w:rFonts w:ascii="Arial" w:cs="Arial" w:eastAsia="Arial" w:hAnsi="Arial"/>
          <w:sz w:val="14"/>
          <w:szCs w:val="14"/>
          <w:b w:val="1"/>
          <w:bCs w:val="1"/>
          <w:color w:val="auto"/>
        </w:rPr>
      </w:pPr>
    </w:p>
    <w:p>
      <w:pPr>
        <w:ind w:left="1660"/>
        <w:spacing w:after="0"/>
        <w:rPr>
          <w:rFonts w:ascii="Arial" w:cs="Arial" w:eastAsia="Arial" w:hAnsi="Arial"/>
          <w:sz w:val="14"/>
          <w:szCs w:val="14"/>
          <w:b w:val="1"/>
          <w:bCs w:val="1"/>
          <w:color w:val="auto"/>
        </w:rPr>
      </w:pPr>
      <w:r>
        <w:rPr>
          <w:rFonts w:ascii="Arial" w:cs="Arial" w:eastAsia="Arial" w:hAnsi="Arial"/>
          <w:sz w:val="14"/>
          <w:szCs w:val="14"/>
          <w:color w:val="auto"/>
        </w:rPr>
        <w:t>Cash paid for amounts included in the measurement of lease liabilities: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2620" w:type="dxa"/>
            <w:vAlign w:val="bottom"/>
            <w:tcBorders>
              <w:bottom w:val="single" w:sz="8" w:color="auto"/>
            </w:tcBorders>
            <w:gridSpan w:val="7"/>
          </w:tcPr>
          <w:p>
            <w:pPr>
              <w:ind w:left="720"/>
              <w:spacing w:after="0"/>
              <w:rPr>
                <w:sz w:val="20"/>
                <w:szCs w:val="20"/>
                <w:color w:val="auto"/>
              </w:rPr>
            </w:pPr>
            <w:r>
              <w:rPr>
                <w:rFonts w:ascii="Arial" w:cs="Arial" w:eastAsia="Arial" w:hAnsi="Arial"/>
                <w:sz w:val="11"/>
                <w:szCs w:val="11"/>
                <w:b w:val="1"/>
                <w:bCs w:val="1"/>
                <w:color w:val="auto"/>
              </w:rPr>
              <w:t>For the years ended December 31,</w:t>
            </w:r>
          </w:p>
        </w:tc>
        <w:tc>
          <w:tcPr>
            <w:tcW w:w="620" w:type="dxa"/>
            <w:vAlign w:val="bottom"/>
            <w:tcBorders>
              <w:bottom w:val="single" w:sz="8" w:color="auto"/>
            </w:tcBorders>
          </w:tcPr>
          <w:p>
            <w:pPr>
              <w:spacing w:after="0"/>
              <w:rPr>
                <w:sz w:val="13"/>
                <w:szCs w:val="13"/>
                <w:color w:val="auto"/>
              </w:rPr>
            </w:pPr>
          </w:p>
        </w:tc>
      </w:tr>
      <w:tr>
        <w:trPr>
          <w:trHeight w:val="198"/>
        </w:trPr>
        <w:tc>
          <w:tcPr>
            <w:tcW w:w="2980" w:type="dxa"/>
            <w:vAlign w:val="bottom"/>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2025</w:t>
            </w:r>
          </w:p>
        </w:tc>
      </w:tr>
      <w:tr>
        <w:trPr>
          <w:trHeight w:val="208"/>
        </w:trPr>
        <w:tc>
          <w:tcPr>
            <w:tcW w:w="29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RMB</w:t>
            </w: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RMB</w:t>
            </w:r>
          </w:p>
        </w:tc>
        <w:tc>
          <w:tcPr>
            <w:tcW w:w="100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20" w:type="dxa"/>
            <w:vAlign w:val="bottom"/>
          </w:tcPr>
          <w:p>
            <w:pPr>
              <w:jc w:val="right"/>
              <w:ind w:right="238"/>
              <w:spacing w:after="0"/>
              <w:rPr>
                <w:sz w:val="20"/>
                <w:szCs w:val="20"/>
                <w:color w:val="auto"/>
              </w:rPr>
            </w:pPr>
            <w:r>
              <w:rPr>
                <w:rFonts w:ascii="Arial" w:cs="Arial" w:eastAsia="Arial" w:hAnsi="Arial"/>
                <w:sz w:val="11"/>
                <w:szCs w:val="11"/>
                <w:b w:val="1"/>
                <w:bCs w:val="1"/>
                <w:color w:val="auto"/>
              </w:rPr>
              <w:t>US$</w:t>
            </w: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Cash payments for operating leases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19,947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r>
      <w:tr>
        <w:trPr>
          <w:trHeight w:val="137"/>
        </w:trPr>
        <w:tc>
          <w:tcPr>
            <w:tcW w:w="2980" w:type="dxa"/>
            <w:vAlign w:val="bottom"/>
          </w:tcPr>
          <w:p>
            <w:pPr>
              <w:spacing w:after="0" w:line="137" w:lineRule="exact"/>
              <w:rPr>
                <w:sz w:val="20"/>
                <w:szCs w:val="20"/>
                <w:color w:val="auto"/>
              </w:rPr>
            </w:pPr>
            <w:r>
              <w:rPr>
                <w:rFonts w:ascii="Arial" w:cs="Arial" w:eastAsia="Arial" w:hAnsi="Arial"/>
                <w:sz w:val="14"/>
                <w:szCs w:val="14"/>
                <w:color w:val="auto"/>
              </w:rPr>
              <w:t>ROU assets obtained in exchange for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87"/>
        </w:trPr>
        <w:tc>
          <w:tcPr>
            <w:tcW w:w="298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8,689</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20,548</w:t>
            </w:r>
          </w:p>
        </w:tc>
        <w:tc>
          <w:tcPr>
            <w:tcW w:w="740" w:type="dxa"/>
            <w:vAlign w:val="bottom"/>
          </w:tcPr>
          <w:p>
            <w:pPr>
              <w:jc w:val="right"/>
              <w:spacing w:after="0"/>
              <w:rPr>
                <w:sz w:val="20"/>
                <w:szCs w:val="20"/>
                <w:color w:val="auto"/>
              </w:rPr>
            </w:pPr>
            <w:r>
              <w:rPr>
                <w:rFonts w:ascii="Arial" w:cs="Arial" w:eastAsia="Arial" w:hAnsi="Arial"/>
                <w:sz w:val="14"/>
                <w:szCs w:val="14"/>
                <w:color w:val="auto"/>
              </w:rPr>
              <w:t>4,475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640</w:t>
            </w:r>
          </w:p>
        </w:tc>
      </w:tr>
    </w:tbl>
    <w:p>
      <w:pPr>
        <w:spacing w:after="0" w:line="13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Future lease payments under lease liabilities as of December 31, 2025 were as follows: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4300" w:type="dxa"/>
            <w:vAlign w:val="bottom"/>
          </w:tcPr>
          <w:p>
            <w:pPr>
              <w:spacing w:after="0"/>
              <w:rPr>
                <w:sz w:val="13"/>
                <w:szCs w:val="13"/>
                <w:color w:val="auto"/>
              </w:rPr>
            </w:pPr>
          </w:p>
        </w:tc>
        <w:tc>
          <w:tcPr>
            <w:tcW w:w="19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1"/>
                <w:szCs w:val="11"/>
                <w:b w:val="1"/>
                <w:bCs w:val="1"/>
                <w:color w:val="auto"/>
              </w:rPr>
              <w:t>Operating leases</w:t>
            </w:r>
          </w:p>
        </w:tc>
      </w:tr>
      <w:tr>
        <w:trPr>
          <w:trHeight w:val="208"/>
        </w:trPr>
        <w:tc>
          <w:tcPr>
            <w:tcW w:w="4300" w:type="dxa"/>
            <w:vAlign w:val="bottom"/>
          </w:tcPr>
          <w:p>
            <w:pPr>
              <w:spacing w:after="0"/>
              <w:rPr>
                <w:sz w:val="18"/>
                <w:szCs w:val="18"/>
                <w:color w:val="auto"/>
              </w:rPr>
            </w:pPr>
          </w:p>
        </w:tc>
        <w:tc>
          <w:tcPr>
            <w:tcW w:w="880" w:type="dxa"/>
            <w:vAlign w:val="bottom"/>
          </w:tcPr>
          <w:p>
            <w:pPr>
              <w:jc w:val="right"/>
              <w:ind w:right="234"/>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1"/>
                <w:szCs w:val="11"/>
                <w:b w:val="1"/>
                <w:bCs w:val="1"/>
                <w:color w:val="auto"/>
              </w:rPr>
              <w:t>US$</w:t>
            </w:r>
          </w:p>
        </w:tc>
      </w:tr>
      <w:tr>
        <w:trPr>
          <w:trHeight w:val="224"/>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4"/>
                <w:szCs w:val="14"/>
                <w:color w:val="auto"/>
              </w:rPr>
              <w:t>2026</w:t>
            </w:r>
          </w:p>
        </w:tc>
        <w:tc>
          <w:tcPr>
            <w:tcW w:w="880" w:type="dxa"/>
            <w:vAlign w:val="bottom"/>
          </w:tcPr>
          <w:p>
            <w:pPr>
              <w:jc w:val="right"/>
              <w:spacing w:after="0"/>
              <w:rPr>
                <w:sz w:val="20"/>
                <w:szCs w:val="20"/>
                <w:color w:val="auto"/>
              </w:rPr>
            </w:pPr>
            <w:r>
              <w:rPr>
                <w:rFonts w:ascii="Arial" w:cs="Arial" w:eastAsia="Arial" w:hAnsi="Arial"/>
                <w:sz w:val="14"/>
                <w:szCs w:val="14"/>
                <w:color w:val="auto"/>
              </w:rPr>
              <w:t>5,271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754</w:t>
            </w:r>
          </w:p>
        </w:tc>
      </w:tr>
      <w:tr>
        <w:trPr>
          <w:trHeight w:val="227"/>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718</w:t>
            </w:r>
          </w:p>
        </w:tc>
      </w:tr>
      <w:tr>
        <w:trPr>
          <w:trHeight w:val="204"/>
        </w:trPr>
        <w:tc>
          <w:tcPr>
            <w:tcW w:w="4300" w:type="dxa"/>
            <w:vAlign w:val="bottom"/>
          </w:tcPr>
          <w:p>
            <w:pPr>
              <w:spacing w:after="0"/>
              <w:rPr>
                <w:sz w:val="20"/>
                <w:szCs w:val="20"/>
                <w:color w:val="auto"/>
              </w:rPr>
            </w:pPr>
            <w:r>
              <w:rPr>
                <w:rFonts w:ascii="Arial" w:cs="Arial" w:eastAsia="Arial" w:hAnsi="Arial"/>
                <w:sz w:val="14"/>
                <w:szCs w:val="14"/>
                <w:color w:val="auto"/>
              </w:rPr>
              <w:t>2028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4,153</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r>
      <w:tr>
        <w:trPr>
          <w:trHeight w:val="201"/>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future lease payments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14,446</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2,066</w:t>
            </w:r>
          </w:p>
        </w:tc>
      </w:tr>
      <w:tr>
        <w:trPr>
          <w:trHeight w:val="195"/>
        </w:trPr>
        <w:tc>
          <w:tcPr>
            <w:tcW w:w="4300" w:type="dxa"/>
            <w:vAlign w:val="bottom"/>
          </w:tcPr>
          <w:p>
            <w:pPr>
              <w:spacing w:after="0"/>
              <w:rPr>
                <w:sz w:val="20"/>
                <w:szCs w:val="20"/>
                <w:color w:val="auto"/>
              </w:rPr>
            </w:pPr>
            <w:r>
              <w:rPr>
                <w:rFonts w:ascii="Arial" w:cs="Arial" w:eastAsia="Arial" w:hAnsi="Arial"/>
                <w:sz w:val="14"/>
                <w:szCs w:val="14"/>
                <w:color w:val="auto"/>
              </w:rPr>
              <w:t>Less: Imputed interest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231"/>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lease liability balance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1,922</w:t>
            </w:r>
          </w:p>
        </w:tc>
      </w:tr>
    </w:tbl>
    <w:p>
      <w:pPr>
        <w:spacing w:after="0" w:line="12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of December 31, 2025, additional operating leases that have not yet commenced were immaterial.</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11. SHORT-TERM LOANS</w:t>
      </w:r>
    </w:p>
    <w:p>
      <w:pPr>
        <w:spacing w:after="0" w:line="98"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Short-term loans as of December 31, 2024 and 2025 amounted to RMB107,469 and RMB121,274 (US$17,342), respectively, which primarily consisted of borrowings from financial institutions in the PRC and factoring of notes receivables that are repayable within one year.</w:t>
      </w:r>
    </w:p>
    <w:p>
      <w:pPr>
        <w:spacing w:after="0" w:line="7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2024 and 2025, the Group factored certain notes receivables for proceeds, which mainly consisted of intercompany notes and notes receivable from Predecessor. These factoring transactions did not qualify as a sale of financial assets under ASC 860 as these notes receivables were transferred with recourse. The factoring transactions were accounted for as secured borrowings, which are repayable within one year and are included in “Short-term loans” on the consolidated balance sheets. As of December 31, 2024 and 2025, the outstanding balances of the factored notes receivables were RMB70,270 and RMB24,720 (US$3,535), respectively.</w:t>
      </w:r>
    </w:p>
    <w:p>
      <w:pPr>
        <w:spacing w:after="0" w:line="8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weighted average interest rate for all of the outstanding short-term loans as of December 31, 2024 and 2025 was 3.92% and 3.50%, respectively. As of December 31, 2025, the repayments of the short-term loans amounting to RMB89,694 (US$12,826) are guaranteed by a subsidiary of the Predecessor.</w:t>
      </w:r>
    </w:p>
    <w:p>
      <w:pPr>
        <w:spacing w:after="0" w:line="10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6" w:name="page337"/>
    <w:bookmarkEnd w:id="33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60" w:right="3118" w:hanging="245"/>
        <w:spacing w:after="0" w:line="476" w:lineRule="auto"/>
        <w:tabs>
          <w:tab w:leader="none" w:pos="1637"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ACCRUED EXPENSES AND OTHER CURRENT LIABILITIES </w:t>
      </w:r>
      <w:r>
        <w:rPr>
          <w:rFonts w:ascii="Arial" w:cs="Arial" w:eastAsia="Arial" w:hAnsi="Arial"/>
          <w:sz w:val="13"/>
          <w:szCs w:val="13"/>
          <w:color w:val="auto"/>
        </w:rPr>
        <w:t>Accrued expenses and other current liabilities consist of the following:</w:t>
      </w:r>
    </w:p>
    <w:p>
      <w:pPr>
        <w:spacing w:after="0" w:line="2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2024</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940" w:type="dxa"/>
            <w:vAlign w:val="bottom"/>
          </w:tcPr>
          <w:p>
            <w:pPr>
              <w:jc w:val="right"/>
              <w:ind w:right="314"/>
              <w:spacing w:after="0"/>
              <w:rPr>
                <w:sz w:val="20"/>
                <w:szCs w:val="20"/>
                <w:color w:val="auto"/>
              </w:rPr>
            </w:pPr>
            <w:r>
              <w:rPr>
                <w:rFonts w:ascii="Arial" w:cs="Arial" w:eastAsia="Arial" w:hAnsi="Arial"/>
                <w:sz w:val="11"/>
                <w:szCs w:val="11"/>
                <w:b w:val="1"/>
                <w:bCs w:val="1"/>
                <w:color w:val="auto"/>
              </w:rPr>
              <w:t>RMB</w:t>
            </w: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tcPr>
          <w:p>
            <w:pPr>
              <w:jc w:val="right"/>
              <w:ind w:right="294"/>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Merchants deposits</w:t>
            </w:r>
          </w:p>
        </w:tc>
        <w:tc>
          <w:tcPr>
            <w:tcW w:w="9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52,848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52,232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4"/>
                <w:szCs w:val="14"/>
                <w:color w:val="auto"/>
              </w:rPr>
              <w:t>Other payables in the auction services</w:t>
            </w:r>
            <w:r>
              <w:rPr>
                <w:rFonts w:ascii="Arial" w:cs="Arial" w:eastAsia="Arial" w:hAnsi="Arial"/>
                <w:sz w:val="16"/>
                <w:szCs w:val="16"/>
                <w:color w:val="auto"/>
                <w:vertAlign w:val="superscript"/>
              </w:rPr>
              <w:t>(i)</w:t>
            </w:r>
          </w:p>
        </w:tc>
        <w:tc>
          <w:tcPr>
            <w:tcW w:w="940" w:type="dxa"/>
            <w:vAlign w:val="bottom"/>
          </w:tcPr>
          <w:p>
            <w:pPr>
              <w:jc w:val="right"/>
              <w:ind w:right="14"/>
              <w:spacing w:after="0"/>
              <w:rPr>
                <w:sz w:val="20"/>
                <w:szCs w:val="20"/>
                <w:color w:val="auto"/>
              </w:rPr>
            </w:pPr>
            <w:r>
              <w:rPr>
                <w:rFonts w:ascii="Arial" w:cs="Arial" w:eastAsia="Arial" w:hAnsi="Arial"/>
                <w:sz w:val="14"/>
                <w:szCs w:val="14"/>
                <w:color w:val="auto"/>
              </w:rPr>
              <w:t>51,864</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53,470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Salaries and welfare payables</w:t>
            </w:r>
          </w:p>
        </w:tc>
        <w:tc>
          <w:tcPr>
            <w:tcW w:w="9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25,190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20,844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Accrued expenses</w:t>
            </w:r>
          </w:p>
        </w:tc>
        <w:tc>
          <w:tcPr>
            <w:tcW w:w="940" w:type="dxa"/>
            <w:vAlign w:val="bottom"/>
          </w:tcPr>
          <w:p>
            <w:pPr>
              <w:jc w:val="right"/>
              <w:ind w:right="14"/>
              <w:spacing w:after="0"/>
              <w:rPr>
                <w:sz w:val="20"/>
                <w:szCs w:val="20"/>
                <w:color w:val="auto"/>
              </w:rPr>
            </w:pPr>
            <w:r>
              <w:rPr>
                <w:rFonts w:ascii="Arial" w:cs="Arial" w:eastAsia="Arial" w:hAnsi="Arial"/>
                <w:sz w:val="14"/>
                <w:szCs w:val="14"/>
                <w:color w:val="auto"/>
              </w:rPr>
              <w:t>22,681</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12,452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Other tax payables</w:t>
            </w:r>
          </w:p>
        </w:tc>
        <w:tc>
          <w:tcPr>
            <w:tcW w:w="9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15,684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22,323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20"/>
                <w:szCs w:val="20"/>
                <w:color w:val="auto"/>
              </w:rPr>
            </w:pPr>
            <w:r>
              <w:rPr>
                <w:rFonts w:ascii="Arial" w:cs="Arial" w:eastAsia="Arial" w:hAnsi="Arial"/>
                <w:sz w:val="14"/>
                <w:szCs w:val="14"/>
                <w:color w:val="auto"/>
              </w:rPr>
              <w:t>Others</w:t>
            </w:r>
            <w:r>
              <w:rPr>
                <w:rFonts w:ascii="Arial" w:cs="Arial" w:eastAsia="Arial" w:hAnsi="Arial"/>
                <w:sz w:val="16"/>
                <w:szCs w:val="16"/>
                <w:color w:val="auto"/>
                <w:vertAlign w:val="superscript"/>
              </w:rPr>
              <w:t>(ii)</w:t>
            </w:r>
          </w:p>
        </w:tc>
        <w:tc>
          <w:tcPr>
            <w:tcW w:w="940" w:type="dxa"/>
            <w:vAlign w:val="bottom"/>
          </w:tcPr>
          <w:p>
            <w:pPr>
              <w:jc w:val="right"/>
              <w:ind w:right="14"/>
              <w:spacing w:after="0"/>
              <w:rPr>
                <w:sz w:val="20"/>
                <w:szCs w:val="20"/>
                <w:color w:val="auto"/>
              </w:rPr>
            </w:pPr>
            <w:r>
              <w:rPr>
                <w:rFonts w:ascii="Arial" w:cs="Arial" w:eastAsia="Arial" w:hAnsi="Arial"/>
                <w:sz w:val="14"/>
                <w:szCs w:val="14"/>
                <w:color w:val="auto"/>
              </w:rPr>
              <w:t>26,268</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26,646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20" w:type="dxa"/>
            <w:vAlign w:val="bottom"/>
            <w:vMerge w:val="continue"/>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194,535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187,967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26,879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74" w:lineRule="exact"/>
        <w:rPr>
          <w:sz w:val="20"/>
          <w:szCs w:val="20"/>
          <w:color w:val="auto"/>
        </w:rPr>
      </w:pPr>
    </w:p>
    <w:p>
      <w:pPr>
        <w:jc w:val="both"/>
        <w:ind w:left="1640" w:right="1398" w:hanging="225"/>
        <w:spacing w:after="0" w:line="245" w:lineRule="auto"/>
        <w:tabs>
          <w:tab w:leader="none" w:pos="160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Other payables represent the sales price of the vehicles for completed auction transactions collected by the Group on behalf of the sellers, which will be subsequently settled with the sellers or the payments that need to be refunded to the buyers for cancelled auction transactions.</w:t>
      </w:r>
    </w:p>
    <w:p>
      <w:pPr>
        <w:ind w:left="1640" w:right="1398" w:hanging="225"/>
        <w:spacing w:after="0" w:line="250" w:lineRule="auto"/>
        <w:tabs>
          <w:tab w:leader="none" w:pos="1637"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carrying amount of the guarantee liability related to the used car inspection and certification services, included in “Others,” was RMB2,391 and RMB1,902 (US$272) as of December 31, 2024 and 2025, respectively.</w:t>
      </w:r>
    </w:p>
    <w:p>
      <w:pPr>
        <w:spacing w:after="0" w:line="12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13. REDEEMABLE CONVERTIBLE PREFERRED SHARES</w:t>
      </w:r>
    </w:p>
    <w:p>
      <w:pPr>
        <w:spacing w:after="0" w:line="109" w:lineRule="exact"/>
        <w:rPr>
          <w:sz w:val="20"/>
          <w:szCs w:val="20"/>
          <w:color w:val="auto"/>
        </w:rPr>
      </w:pPr>
    </w:p>
    <w:p>
      <w:pPr>
        <w:jc w:val="both"/>
        <w:ind w:left="1420" w:right="1398" w:firstLine="249"/>
        <w:spacing w:after="0" w:line="257" w:lineRule="auto"/>
        <w:rPr>
          <w:sz w:val="20"/>
          <w:szCs w:val="20"/>
          <w:color w:val="auto"/>
        </w:rPr>
      </w:pPr>
      <w:r>
        <w:rPr>
          <w:rFonts w:ascii="Arial" w:cs="Arial" w:eastAsia="Arial" w:hAnsi="Arial"/>
          <w:sz w:val="13"/>
          <w:szCs w:val="13"/>
          <w:color w:val="auto"/>
        </w:rPr>
        <w:t>Upon the Restructuring (Note 1(b)), the Company issued in aggregate 783,438,378 Series A-1, A-2, B, D, D-1, E-1, E-2, E-3, and F redeemable convertible preferred shares at par value (collectively with the Series G preferred shares, the “Preferred Shares”) to the same group of investors of the Predecessor in the form of the same series of preferred shares such that each shareholder’s rights and equity interest in the Company were identical to their rights and equity interest in the Predecessor. The Restructuring was accounted for as a transaction under common ownership, and therefore the related issued preferred shares are recorded at fair value on the date that the Restructuring was completed, which is determined with the assistance from an independent third-party valuation firm, and presented on a retrospective basis for the periods prior to the Restructuring.</w:t>
      </w:r>
    </w:p>
    <w:p>
      <w:pPr>
        <w:spacing w:after="0" w:line="7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August 2023, the Company and CTZC Limited (“CTZC”) closed the Series G financing, in which CTZC purchased 24,422,238 Series G preferred shares in exchange for RMB300,000 (US$42,899) cash consideration. As part of the Series G financing, the redemption term of Series A — Series F preferred shares was extended to August 2025. Concurrently, the Company and Series E-3 and Series F preferred shareholders agreed to adjust the conversion ratio for the Series E-3 and Series F preferred shares from 1:1 to approximately 0.9984:1 and 0.9940:1, respectively.</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In September 2023, the Company and one of the Series F preferred shareholders agreed to the surrender and cancellation of 3,607,238 Series F preferred shares. The Group accounted for the cancellation as an extinguishment and the difference between the carrying value of the preferred share and the consideration transferred is added to net loss to arrive at net loss attributable to ordinary shareholders.</w:t>
      </w:r>
    </w:p>
    <w:p>
      <w:pPr>
        <w:spacing w:after="0" w:line="11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7" w:name="page338"/>
    <w:bookmarkEnd w:id="33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40" w:hanging="225"/>
        <w:spacing w:after="0"/>
        <w:tabs>
          <w:tab w:leader="none" w:pos="1640" w:val="left"/>
        </w:tabs>
        <w:numPr>
          <w:ilvl w:val="0"/>
          <w:numId w:val="173"/>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SHARES (cont.)</w:t>
      </w:r>
    </w:p>
    <w:p>
      <w:pPr>
        <w:spacing w:after="0" w:line="129" w:lineRule="exact"/>
        <w:rPr>
          <w:rFonts w:ascii="Arial" w:cs="Arial" w:eastAsia="Arial" w:hAnsi="Arial"/>
          <w:sz w:val="14"/>
          <w:szCs w:val="14"/>
          <w:b w:val="1"/>
          <w:bCs w:val="1"/>
          <w:color w:val="auto"/>
        </w:rPr>
      </w:pPr>
    </w:p>
    <w:p>
      <w:pPr>
        <w:ind w:left="1660"/>
        <w:spacing w:after="0"/>
        <w:rPr>
          <w:rFonts w:ascii="Arial" w:cs="Arial" w:eastAsia="Arial" w:hAnsi="Arial"/>
          <w:sz w:val="14"/>
          <w:szCs w:val="14"/>
          <w:b w:val="1"/>
          <w:bCs w:val="1"/>
          <w:color w:val="auto"/>
        </w:rPr>
      </w:pPr>
      <w:r>
        <w:rPr>
          <w:rFonts w:ascii="Arial" w:cs="Arial" w:eastAsia="Arial" w:hAnsi="Arial"/>
          <w:sz w:val="14"/>
          <w:szCs w:val="14"/>
          <w:color w:val="auto"/>
        </w:rPr>
        <w:t>The key terms of the Preferred Shares of the Company are summarized as follows:</w:t>
      </w:r>
    </w:p>
    <w:p>
      <w:pPr>
        <w:spacing w:after="0" w:line="110" w:lineRule="exact"/>
        <w:rPr>
          <w:rFonts w:ascii="Arial" w:cs="Arial" w:eastAsia="Arial" w:hAnsi="Arial"/>
          <w:sz w:val="14"/>
          <w:szCs w:val="14"/>
          <w:b w:val="1"/>
          <w:bCs w:val="1"/>
          <w:color w:val="auto"/>
        </w:rPr>
      </w:pPr>
    </w:p>
    <w:p>
      <w:pPr>
        <w:ind w:left="1660"/>
        <w:spacing w:after="0"/>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Conversion Rights</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Each holder of Preferred Shares has the right, at their sole discretion, to convert all or any portion of the Preferred Shares into ordinary shares as determined by the applicable conversion price for each series of the Preferred Shares. The initial conversion price for each Preferred Share series was equal to their respective issue price. Concurrent with the Series G financing, the Company and holders of the Series E-3 and F Preferred Shareholders agreed to adjust the Series E-3 and F conversion ratio to approximately 0.9984:1 and 0.9940:1, respectively.</w:t>
      </w:r>
    </w:p>
    <w:p>
      <w:pPr>
        <w:spacing w:after="0" w:line="86"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Preferred Shares will automatically be converted into ordinary shares at the then applicable conversion price upon the closing of a qualified initial public offering defined as a public offering of shares or other equity securities on the New York Stock Exchange, NASDAQ, the Stock Exchange of Hong Kong or other recognized securities exchanges at pre-offering valuation and gross proceeds as approved by a super majority of the Board of Directors. The initial conversion ratio for the Preferred Shares to ordinary shares shall be one-for-one basis and subject to adjustments in the event of share splits, combinations, share dividends and distribution, other dividends, capital reorganization, mergers, consolidations, reclassification, exchanges, substitutions of the ordinary shares and certain dilutive issuances.</w:t>
      </w:r>
    </w:p>
    <w:p>
      <w:pPr>
        <w:spacing w:after="0" w:line="138"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Redemption Rights</w:t>
      </w:r>
    </w:p>
    <w:p>
      <w:pPr>
        <w:spacing w:after="0" w:line="107" w:lineRule="exact"/>
        <w:rPr>
          <w:sz w:val="20"/>
          <w:szCs w:val="20"/>
          <w:color w:val="auto"/>
        </w:rPr>
      </w:pPr>
    </w:p>
    <w:p>
      <w:pPr>
        <w:jc w:val="both"/>
        <w:ind w:left="1420" w:right="1398" w:firstLine="249"/>
        <w:spacing w:after="0" w:line="234" w:lineRule="auto"/>
        <w:rPr>
          <w:sz w:val="20"/>
          <w:szCs w:val="20"/>
          <w:color w:val="auto"/>
        </w:rPr>
      </w:pPr>
      <w:r>
        <w:rPr>
          <w:rFonts w:ascii="Arial" w:cs="Arial" w:eastAsia="Arial" w:hAnsi="Arial"/>
          <w:sz w:val="14"/>
          <w:szCs w:val="14"/>
          <w:color w:val="auto"/>
        </w:rPr>
        <w:t>Series A-1 and A-2 preferred shareholders have the option to redeem the preferred shares on August 21, 2025. Series B — Series F preferred shareholders may redeem the preferred shares (i) at any time after August 21, 2025 or the occurrence of any redemption event defined as any material adverse change in the regulatory environment that will invalidate any of the Group’s VIE arrangements, any material breach of each series’ shareholder agreement by the Company, founders or any shareholder. The Series G preferred shareholder may redeem the preferred shares, at the option of the holder, from and after the earlier of (i) the Company fails to consummate an initial public offering on or prior to December 31, 2024; or (ii) the occurrence of any redemption event defined as any material adverse change in the regulatory environment that will invalidate any of the Group’s VIE arrangements, any material breach of each series’ shareholder agreement by the Company, founders or any shareholder. On December 19, 2024, the Company’s Series G preferred shareholder issued an extension letter to the Company to extend the redemption triggering date for such Series G preferred shareholder from December 31, 2024 to the earlier of (i) the date on which any other preferred shareholder duly exercises its redemption right or (ii) August 21, 2025 (the “Series G’s Extension of Redemption Rights”). Upon receiving the redemption notice by any preferred shareholder, the Company shall notify all of the other preferred shareholders of its receipt of the redemption notice. Each of the other preferred shareholders shall have the right to require the Company to redeem all or any part of the Preferred Shares held by it within 15 business days following its receipt of the notification from the Company. The redemption amount for each preferred shareholder is calculated as an amount that is the greater of: (i) the fair market value of the Preferred Shares determined by an independent appraisal; or (ii) the sum of the issue price plus an amount accruing at 12% or 10% per annum and all declared but unpaid dividends.</w:t>
      </w:r>
    </w:p>
    <w:p>
      <w:pPr>
        <w:spacing w:after="0" w:line="106"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38" w:name="page339"/>
    <w:bookmarkEnd w:id="33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13. REDEEMABLE CONVERTIBLE PREFERRED SHARES (cont.)</w:t>
      </w:r>
    </w:p>
    <w:p>
      <w:pPr>
        <w:spacing w:after="0" w:line="13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August 18, 2025, the shareholders of the Company approved the extension of the redemption date of the Preferred Shares from August 21, 2025 to December 31, 2025. On December 26, 2025, the shareholders of the Company further approved the extension of the redemption date of the Preferred Shares to December 31, 2026.</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Liquidation preference</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In the event of any liquidation, dissolution or winding up of the Company, either voluntary or involuntary, or any deemed liquidation event as defined in the Company’s Memorandum of Association and Shareholders’ Agreement, the available assets of the Company will be distributed to each preferred and ordinary shareholder as follows:</w:t>
      </w:r>
    </w:p>
    <w:p>
      <w:pPr>
        <w:spacing w:after="0" w:line="69"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Each holder of the Series G preferred shares is entitled to receive an amount equal to 120% of the Series G issue price plus all declared but unpaid dividends prior and in preference to any distribution to any other preferred shareholders and the ordinary shareholders of the Company.</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After all payments to the Series G preferred shareholders, each holder of the Series F preferred shares is entitled to receive an amount equal to 120% of the Series F issue price plus all declared but unpaid dividends prior and in preference to any distribution to holders of Series E-3 preferred shares, Series E-2 preferred shares, Series E-1 preferred shares, Series D-1 preferred shares, Series D preferred shares, Series B preferred shares, Series A-2 preferred shares, Series A-1 preferred shares and the Company’s ordinary shareholders.</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After all payments to the Series F preferred shareholders, each holder of the Series E-3 preferred shares is entitled to receive an amount equal to 120% of the Series E-3 issue price plus all declared but unpaid dividends prior and in preference to any distribution to holders of Series E-2 preferred shares, Series E-1 preferred shares, Series D-1 preferred shares, Series D preferred shares, Series B preferred shares, Series A-2 preferred shares, Series A-1 preferred shares and the Company’s ordinary shareholders.</w:t>
      </w:r>
    </w:p>
    <w:p>
      <w:pPr>
        <w:spacing w:after="0" w:line="9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After all payments to the Series E-3 preferred shareholders, each holder of the Series E-2 and E-1 preferred shares is entitled to receive an amount equal to 120% of the Series E-2 and Series E-1 issue price plus all declared but unpaid dividends prior and in preference to any distribution to holders of Series D-1 preferred shares, Series D preferred shares, Series B preferred shares, Series A-2 preferred shares, Series A-1 preferred shares and the Company’s ordinary shareholders.</w:t>
      </w:r>
    </w:p>
    <w:p>
      <w:pPr>
        <w:spacing w:after="0" w:line="9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After all payments to the Series E-2 and Series E-1 preferred shareholders, each holder of the Series D-1 preferred shares is entitled to receive an amount equal to 120% of the Series D-1 issue price plus all declared but unpaid dividends prior and in preference to any distribution to holders of Series D preferred shares, Series B preferred shares, Series A-2 preferred shares, Series A-1 preferred shares and the Company’s ordinary shareholders.</w:t>
      </w:r>
    </w:p>
    <w:p>
      <w:pPr>
        <w:spacing w:after="0" w:line="94" w:lineRule="exact"/>
        <w:rPr>
          <w:sz w:val="20"/>
          <w:szCs w:val="20"/>
          <w:color w:val="auto"/>
        </w:rPr>
      </w:pPr>
    </w:p>
    <w:p>
      <w:pPr>
        <w:jc w:val="both"/>
        <w:ind w:left="1420" w:right="1398" w:firstLine="249"/>
        <w:spacing w:after="0" w:line="270" w:lineRule="auto"/>
        <w:rPr>
          <w:sz w:val="20"/>
          <w:szCs w:val="20"/>
          <w:color w:val="auto"/>
        </w:rPr>
      </w:pPr>
      <w:r>
        <w:rPr>
          <w:rFonts w:ascii="Arial" w:cs="Arial" w:eastAsia="Arial" w:hAnsi="Arial"/>
          <w:sz w:val="13"/>
          <w:szCs w:val="13"/>
          <w:color w:val="auto"/>
        </w:rPr>
        <w:t>After all payments to the Series D-1 preferred shareholders, each holder of the Series D preferred shares is entitled to receive an amount equal to 120% of the Series D issue price plus all declared but unpaid dividends prior and in preference to any distribution to holders of Series B preferred shares, Series A-2 preferred shares, Series A-1 preferred shares and the Company’s ordinary shareholders.</w:t>
      </w:r>
    </w:p>
    <w:p>
      <w:pPr>
        <w:spacing w:after="0" w:line="8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29" w:right="1440" w:bottom="1440" w:gutter="0" w:footer="0" w:header="0"/>
        </w:sectPr>
      </w:pPr>
    </w:p>
    <w:bookmarkStart w:id="339" w:name="page340"/>
    <w:bookmarkEnd w:id="33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13. REDEEMABLE CONVERTIBLE PREFERRED SHARES (cont.)</w:t>
      </w:r>
    </w:p>
    <w:p>
      <w:pPr>
        <w:spacing w:after="0" w:line="13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After all payments to the Series D preferred shareholders, each holder of the Series B preferred shares is entitled to receive an amount equal to 120% of the Series B issue price plus all declared but unpaid dividends prior and in preference to any distribution to holders of Series A-2 preferred shares, Series A-1 preferred shares and the Company’s ordinary shareholders.</w:t>
      </w:r>
    </w:p>
    <w:p>
      <w:pPr>
        <w:spacing w:after="0" w:line="9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After all payments to the Series B preferred shareholders, each holder of the Series A-2 and A-1 preferred shares is entitled to receive an amount equal to 120% of the Series A-2 and A-1 issue price plus all declared but unpaid dividends prior and in preference to any distribution to the Company’s ordinary shareholders.</w:t>
      </w:r>
    </w:p>
    <w:p>
      <w:pPr>
        <w:spacing w:after="0" w:line="90"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After payments made to the preferred shareholders in accordance with the above, all of the remaining assets of the Company are available for distribution to preferred and ordinary shareholders on a pro-rata basis on an as-converted basis.</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Dividend Rights</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preferred shareholders are entitled to receive non-cumulative dividends on a pari passu basis accrued at a rate of five percent per annum of each series’ issuance price, in preference to ordinary shareholders if declared by the Board of Directors. No dividends or other distributions shall be made or declared until dividends have been paid in full on the Preferred Shares.</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Voting Rights</w:t>
      </w:r>
    </w:p>
    <w:p>
      <w:pPr>
        <w:spacing w:after="0" w:line="9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Each preferred share shall carry a number of votes equal to the number of ordinary shares then issuable upon its conversion into ordinary shares at the record date for determination of the shareholders entitled to vote on such matters, or, if no such record date is established, at the date such vote is taken or any written consent of shareholders is solicited.</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u w:val="single" w:color="auto"/>
          <w:color w:val="auto"/>
        </w:rPr>
        <w:t>Accounting for redeemable convertible preferred shares</w:t>
      </w:r>
    </w:p>
    <w:p>
      <w:pPr>
        <w:spacing w:after="0" w:line="11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Preferred Shares are classified as mezzanine equity as they may be redeemed at the option of the holder on or after an agreed upon date or upon occurrence of certain events outside the Company’s sole control including deemed liquidation events. The Company uses the whole instrument approach to determine whether the nature of the host contract in a hybrid instrument is more akin to debt or equity. The Company evaluated and concluded none of the feature met the definition of an embedded derivative that required bifurcation accounting because the underlying ordinary shares are not publicly traded nor readily convertible into cash.</w:t>
      </w:r>
    </w:p>
    <w:p>
      <w:pPr>
        <w:spacing w:after="0" w:line="9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Preferred Shares are not currently redeemable, but it is probable that the Preferred Shares will become redeemable. The Series A — Series F preferred shares were initially measured at fair value on the Restructuring completion date and retrospectively presented for the periods prior to the Restructuring (Note 1(b)). Subsequent to the Restructuring in June 2023, the Group elected to recognize the changes in redemption value based on the contractual redemption terms immediately as they occur and adjust the carrying amount of the Preferred Shares to</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0" w:name="page341"/>
    <w:bookmarkEnd w:id="34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13. REDEEMABLE CONVERTIBLE PREFERRED SHARES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equal the redemption value at the end of each reporting period. The Group recorded accretion charges as an increase to the net loss attributable to ordinary shareholders during the years ended December 31, 2024 and 2025.</w:t>
      </w:r>
    </w:p>
    <w:p>
      <w:pPr>
        <w:spacing w:after="0" w:line="8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Company accounts for modifications that result in an increase in the fair value of the modified preferred shares as a deemed dividend reconciling net loss to net loss attributable to ordinary shareholders as there is a transfer of value from the ordinary shareholders to the preferred shareholders. Modifications that result in a decrease of the fair value of the modified preferred shares were not recognized.</w:t>
      </w:r>
    </w:p>
    <w:p>
      <w:pPr>
        <w:spacing w:after="0" w:line="94"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Upon the issuance of Series G preferred shares, the redemption date of all previously issued series of preferred shares were modified to August 2025. Concurrently, the Company and Series E-3 and Series F preferred shareholders agreed to adjust the conversion ratio for the Series E-3 and Series F Preferred Shares from 1:1 to approximately 0.9984:1 and 0.9940:1, respectively. The Company considered whether to apply extinguishment accounting by assessing whether the fair value of the preferred shares was changed by greater than 10% immediately after the change in terms on the modification date. With the assistance of an independent third-party valuation firm, the Company determined that the change in fair value did not exceed 10% for each series of preferred shares, and the change in redemption value was therefore accounted for as a modification.</w:t>
      </w:r>
    </w:p>
    <w:p>
      <w:pPr>
        <w:spacing w:after="0" w:line="94"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Company determined the change in fair value immediately before and after each extension of the redemption date (including the Series G’s Extension of Redemption Rights and the extensions on August 21, 2025 and December 26, 2025) did not exceed 10% for each series of preferred shares and the extension was accounted for as a modification and was not material to the combined and consolidated financial statements.</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1" w:name="page342"/>
    <w:bookmarkEnd w:id="34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1200"/>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13. REDEEMABLE CONVERTIBLE PREFERRED SHARES (cont.)</w:t>
      </w:r>
    </w:p>
    <w:p>
      <w:pPr>
        <w:spacing w:after="0" w:line="130" w:lineRule="exact"/>
        <w:rPr>
          <w:sz w:val="20"/>
          <w:szCs w:val="20"/>
          <w:color w:val="auto"/>
        </w:rPr>
      </w:pPr>
    </w:p>
    <w:p>
      <w:pPr>
        <w:ind w:left="1420" w:right="2620" w:firstLine="249"/>
        <w:spacing w:after="0" w:line="271" w:lineRule="auto"/>
        <w:rPr>
          <w:sz w:val="20"/>
          <w:szCs w:val="20"/>
          <w:color w:val="auto"/>
        </w:rPr>
      </w:pPr>
      <w:r>
        <w:rPr>
          <w:rFonts w:ascii="Arial" w:cs="Arial" w:eastAsia="Arial" w:hAnsi="Arial"/>
          <w:sz w:val="14"/>
          <w:szCs w:val="14"/>
          <w:color w:val="auto"/>
        </w:rPr>
        <w:t>The change in the carrying value of the Preferred Shares and the corresponding accretion for the years ended December 31, 2024 and 2025 are as follows:</w:t>
      </w:r>
    </w:p>
    <w:p>
      <w:pPr>
        <w:spacing w:after="0" w:line="89" w:lineRule="exact"/>
        <w:rPr>
          <w:sz w:val="20"/>
          <w:szCs w:val="20"/>
          <w:color w:val="auto"/>
        </w:rPr>
      </w:pPr>
    </w:p>
    <w:tbl>
      <w:tblPr>
        <w:tblLayout w:type="fixed"/>
        <w:tblInd w:w="1420" w:type="dxa"/>
        <w:tblCellMar>
          <w:top w:w="0" w:type="dxa"/>
          <w:left w:w="0" w:type="dxa"/>
          <w:bottom w:w="0" w:type="dxa"/>
          <w:right w:w="0" w:type="dxa"/>
        </w:tblCellMar>
      </w:tblP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4"/>
          </w:tcPr>
          <w:p>
            <w:pPr>
              <w:jc w:val="center"/>
              <w:spacing w:after="0"/>
              <w:rPr>
                <w:sz w:val="20"/>
                <w:szCs w:val="20"/>
                <w:color w:val="auto"/>
              </w:rPr>
            </w:pPr>
            <w:r>
              <w:rPr>
                <w:rFonts w:ascii="Arial" w:cs="Arial" w:eastAsia="Arial" w:hAnsi="Arial"/>
                <w:sz w:val="8"/>
                <w:szCs w:val="8"/>
                <w:b w:val="1"/>
                <w:bCs w:val="1"/>
                <w:color w:val="auto"/>
              </w:rPr>
              <w:t>Series A-1</w:t>
            </w:r>
          </w:p>
        </w:tc>
        <w:tc>
          <w:tcPr>
            <w:tcW w:w="40" w:type="dxa"/>
            <w:vAlign w:val="bottom"/>
          </w:tcPr>
          <w:p>
            <w:pPr>
              <w:spacing w:after="0"/>
              <w:rPr>
                <w:sz w:val="8"/>
                <w:szCs w:val="8"/>
                <w:color w:val="auto"/>
              </w:rPr>
            </w:pPr>
          </w:p>
        </w:tc>
        <w:tc>
          <w:tcPr>
            <w:tcW w:w="820" w:type="dxa"/>
            <w:vAlign w:val="bottom"/>
            <w:gridSpan w:val="5"/>
          </w:tcPr>
          <w:p>
            <w:pPr>
              <w:jc w:val="right"/>
              <w:ind w:right="220"/>
              <w:spacing w:after="0"/>
              <w:rPr>
                <w:sz w:val="20"/>
                <w:szCs w:val="20"/>
                <w:color w:val="auto"/>
              </w:rPr>
            </w:pPr>
            <w:r>
              <w:rPr>
                <w:rFonts w:ascii="Arial" w:cs="Arial" w:eastAsia="Arial" w:hAnsi="Arial"/>
                <w:sz w:val="8"/>
                <w:szCs w:val="8"/>
                <w:b w:val="1"/>
                <w:bCs w:val="1"/>
                <w:color w:val="auto"/>
              </w:rPr>
              <w:t>Series A-2</w:t>
            </w:r>
          </w:p>
        </w:tc>
        <w:tc>
          <w:tcPr>
            <w:tcW w:w="820" w:type="dxa"/>
            <w:vAlign w:val="bottom"/>
            <w:gridSpan w:val="4"/>
          </w:tcPr>
          <w:p>
            <w:pPr>
              <w:ind w:left="220"/>
              <w:spacing w:after="0"/>
              <w:rPr>
                <w:sz w:val="20"/>
                <w:szCs w:val="20"/>
                <w:color w:val="auto"/>
              </w:rPr>
            </w:pPr>
            <w:r>
              <w:rPr>
                <w:rFonts w:ascii="Arial" w:cs="Arial" w:eastAsia="Arial" w:hAnsi="Arial"/>
                <w:sz w:val="8"/>
                <w:szCs w:val="8"/>
                <w:b w:val="1"/>
                <w:bCs w:val="1"/>
                <w:color w:val="auto"/>
              </w:rPr>
              <w:t>Series B</w:t>
            </w:r>
          </w:p>
        </w:tc>
        <w:tc>
          <w:tcPr>
            <w:tcW w:w="800" w:type="dxa"/>
            <w:vAlign w:val="bottom"/>
            <w:gridSpan w:val="4"/>
          </w:tcPr>
          <w:p>
            <w:pPr>
              <w:jc w:val="right"/>
              <w:ind w:right="260"/>
              <w:spacing w:after="0"/>
              <w:rPr>
                <w:sz w:val="20"/>
                <w:szCs w:val="20"/>
                <w:color w:val="auto"/>
              </w:rPr>
            </w:pPr>
            <w:r>
              <w:rPr>
                <w:rFonts w:ascii="Arial" w:cs="Arial" w:eastAsia="Arial" w:hAnsi="Arial"/>
                <w:sz w:val="8"/>
                <w:szCs w:val="8"/>
                <w:b w:val="1"/>
                <w:bCs w:val="1"/>
                <w:color w:val="auto"/>
              </w:rPr>
              <w:t>Series D</w:t>
            </w:r>
          </w:p>
        </w:tc>
        <w:tc>
          <w:tcPr>
            <w:tcW w:w="880" w:type="dxa"/>
            <w:vAlign w:val="bottom"/>
            <w:gridSpan w:val="3"/>
          </w:tcPr>
          <w:p>
            <w:pPr>
              <w:jc w:val="right"/>
              <w:ind w:right="198"/>
              <w:spacing w:after="0"/>
              <w:rPr>
                <w:sz w:val="20"/>
                <w:szCs w:val="20"/>
                <w:color w:val="auto"/>
              </w:rPr>
            </w:pPr>
            <w:r>
              <w:rPr>
                <w:rFonts w:ascii="Arial" w:cs="Arial" w:eastAsia="Arial" w:hAnsi="Arial"/>
                <w:sz w:val="8"/>
                <w:szCs w:val="8"/>
                <w:b w:val="1"/>
                <w:bCs w:val="1"/>
                <w:color w:val="auto"/>
              </w:rPr>
              <w:t>Series D-1</w:t>
            </w:r>
          </w:p>
        </w:tc>
        <w:tc>
          <w:tcPr>
            <w:tcW w:w="40" w:type="dxa"/>
            <w:vAlign w:val="bottom"/>
          </w:tcPr>
          <w:p>
            <w:pPr>
              <w:spacing w:after="0"/>
              <w:rPr>
                <w:sz w:val="8"/>
                <w:szCs w:val="8"/>
                <w:color w:val="auto"/>
              </w:rPr>
            </w:pPr>
          </w:p>
        </w:tc>
        <w:tc>
          <w:tcPr>
            <w:tcW w:w="880" w:type="dxa"/>
            <w:vAlign w:val="bottom"/>
            <w:gridSpan w:val="4"/>
          </w:tcPr>
          <w:p>
            <w:pPr>
              <w:jc w:val="right"/>
              <w:ind w:right="198"/>
              <w:spacing w:after="0"/>
              <w:rPr>
                <w:sz w:val="20"/>
                <w:szCs w:val="20"/>
                <w:color w:val="auto"/>
              </w:rPr>
            </w:pPr>
            <w:r>
              <w:rPr>
                <w:rFonts w:ascii="Arial" w:cs="Arial" w:eastAsia="Arial" w:hAnsi="Arial"/>
                <w:sz w:val="8"/>
                <w:szCs w:val="8"/>
                <w:b w:val="1"/>
                <w:bCs w:val="1"/>
                <w:color w:val="auto"/>
              </w:rPr>
              <w:t>Series E-1</w:t>
            </w:r>
          </w:p>
        </w:tc>
        <w:tc>
          <w:tcPr>
            <w:tcW w:w="40" w:type="dxa"/>
            <w:vAlign w:val="bottom"/>
          </w:tcPr>
          <w:p>
            <w:pPr>
              <w:spacing w:after="0"/>
              <w:rPr>
                <w:sz w:val="8"/>
                <w:szCs w:val="8"/>
                <w:color w:val="auto"/>
              </w:rPr>
            </w:pPr>
          </w:p>
        </w:tc>
        <w:tc>
          <w:tcPr>
            <w:tcW w:w="880" w:type="dxa"/>
            <w:vAlign w:val="bottom"/>
            <w:gridSpan w:val="3"/>
          </w:tcPr>
          <w:p>
            <w:pPr>
              <w:jc w:val="right"/>
              <w:ind w:right="198"/>
              <w:spacing w:after="0"/>
              <w:rPr>
                <w:sz w:val="20"/>
                <w:szCs w:val="20"/>
                <w:color w:val="auto"/>
              </w:rPr>
            </w:pPr>
            <w:r>
              <w:rPr>
                <w:rFonts w:ascii="Arial" w:cs="Arial" w:eastAsia="Arial" w:hAnsi="Arial"/>
                <w:sz w:val="8"/>
                <w:szCs w:val="8"/>
                <w:b w:val="1"/>
                <w:bCs w:val="1"/>
                <w:color w:val="auto"/>
              </w:rPr>
              <w:t>Series E-2</w:t>
            </w:r>
          </w:p>
        </w:tc>
        <w:tc>
          <w:tcPr>
            <w:tcW w:w="40" w:type="dxa"/>
            <w:vAlign w:val="bottom"/>
          </w:tcPr>
          <w:p>
            <w:pPr>
              <w:spacing w:after="0"/>
              <w:rPr>
                <w:sz w:val="8"/>
                <w:szCs w:val="8"/>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8"/>
                <w:szCs w:val="8"/>
                <w:b w:val="1"/>
                <w:bCs w:val="1"/>
                <w:color w:val="auto"/>
              </w:rPr>
              <w:t>Series E-3</w:t>
            </w:r>
          </w:p>
        </w:tc>
        <w:tc>
          <w:tcPr>
            <w:tcW w:w="900" w:type="dxa"/>
            <w:vAlign w:val="bottom"/>
            <w:gridSpan w:val="4"/>
          </w:tcPr>
          <w:p>
            <w:pPr>
              <w:jc w:val="right"/>
              <w:ind w:right="300"/>
              <w:spacing w:after="0"/>
              <w:rPr>
                <w:sz w:val="20"/>
                <w:szCs w:val="20"/>
                <w:color w:val="auto"/>
              </w:rPr>
            </w:pPr>
            <w:r>
              <w:rPr>
                <w:rFonts w:ascii="Arial" w:cs="Arial" w:eastAsia="Arial" w:hAnsi="Arial"/>
                <w:sz w:val="8"/>
                <w:szCs w:val="8"/>
                <w:b w:val="1"/>
                <w:bCs w:val="1"/>
                <w:color w:val="auto"/>
              </w:rPr>
              <w:t>Series F</w:t>
            </w: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Seri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jc w:val="center"/>
              <w:spacing w:after="0"/>
              <w:rPr>
                <w:sz w:val="20"/>
                <w:szCs w:val="20"/>
                <w:color w:val="auto"/>
              </w:rPr>
            </w:pPr>
            <w:r>
              <w:rPr>
                <w:rFonts w:ascii="Arial" w:cs="Arial" w:eastAsia="Arial" w:hAnsi="Arial"/>
                <w:sz w:val="8"/>
                <w:szCs w:val="8"/>
                <w:b w:val="1"/>
                <w:bCs w:val="1"/>
                <w:color w:val="auto"/>
              </w:rPr>
              <w:t>Preferred Shares</w:t>
            </w:r>
          </w:p>
        </w:tc>
        <w:tc>
          <w:tcPr>
            <w:tcW w:w="40" w:type="dxa"/>
            <w:vAlign w:val="bottom"/>
          </w:tcPr>
          <w:p>
            <w:pPr>
              <w:spacing w:after="0"/>
              <w:rPr>
                <w:sz w:val="10"/>
                <w:szCs w:val="10"/>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8"/>
                <w:szCs w:val="8"/>
                <w:b w:val="1"/>
                <w:bCs w:val="1"/>
                <w:color w:val="auto"/>
              </w:rPr>
              <w:t>Preferred Shares</w:t>
            </w:r>
          </w:p>
        </w:tc>
        <w:tc>
          <w:tcPr>
            <w:tcW w:w="820" w:type="dxa"/>
            <w:vAlign w:val="bottom"/>
            <w:gridSpan w:val="4"/>
          </w:tcPr>
          <w:p>
            <w:pPr>
              <w:ind w:left="60"/>
              <w:spacing w:after="0"/>
              <w:rPr>
                <w:sz w:val="20"/>
                <w:szCs w:val="20"/>
                <w:color w:val="auto"/>
              </w:rPr>
            </w:pPr>
            <w:r>
              <w:rPr>
                <w:rFonts w:ascii="Arial" w:cs="Arial" w:eastAsia="Arial" w:hAnsi="Arial"/>
                <w:sz w:val="8"/>
                <w:szCs w:val="8"/>
                <w:b w:val="1"/>
                <w:bCs w:val="1"/>
                <w:color w:val="auto"/>
              </w:rPr>
              <w:t>Preferred Shares</w:t>
            </w:r>
          </w:p>
        </w:tc>
        <w:tc>
          <w:tcPr>
            <w:tcW w:w="800" w:type="dxa"/>
            <w:vAlign w:val="bottom"/>
            <w:gridSpan w:val="4"/>
          </w:tcPr>
          <w:p>
            <w:pPr>
              <w:ind w:left="40"/>
              <w:spacing w:after="0"/>
              <w:rPr>
                <w:sz w:val="20"/>
                <w:szCs w:val="20"/>
                <w:color w:val="auto"/>
              </w:rPr>
            </w:pPr>
            <w:r>
              <w:rPr>
                <w:rFonts w:ascii="Arial" w:cs="Arial" w:eastAsia="Arial" w:hAnsi="Arial"/>
                <w:sz w:val="8"/>
                <w:szCs w:val="8"/>
                <w:b w:val="1"/>
                <w:bCs w:val="1"/>
                <w:color w:val="auto"/>
              </w:rPr>
              <w:t>Preferred Shares</w:t>
            </w:r>
          </w:p>
        </w:tc>
        <w:tc>
          <w:tcPr>
            <w:tcW w:w="880" w:type="dxa"/>
            <w:vAlign w:val="bottom"/>
            <w:gridSpan w:val="3"/>
          </w:tcPr>
          <w:p>
            <w:pPr>
              <w:jc w:val="right"/>
              <w:ind w:right="58"/>
              <w:spacing w:after="0"/>
              <w:rPr>
                <w:sz w:val="20"/>
                <w:szCs w:val="20"/>
                <w:color w:val="auto"/>
              </w:rPr>
            </w:pPr>
            <w:r>
              <w:rPr>
                <w:rFonts w:ascii="Arial" w:cs="Arial" w:eastAsia="Arial" w:hAnsi="Arial"/>
                <w:sz w:val="8"/>
                <w:szCs w:val="8"/>
                <w:b w:val="1"/>
                <w:bCs w:val="1"/>
                <w:color w:val="auto"/>
              </w:rPr>
              <w:t>Preferred Shares</w:t>
            </w:r>
          </w:p>
        </w:tc>
        <w:tc>
          <w:tcPr>
            <w:tcW w:w="40" w:type="dxa"/>
            <w:vAlign w:val="bottom"/>
          </w:tcPr>
          <w:p>
            <w:pPr>
              <w:spacing w:after="0"/>
              <w:rPr>
                <w:sz w:val="10"/>
                <w:szCs w:val="10"/>
                <w:color w:val="auto"/>
              </w:rPr>
            </w:pPr>
          </w:p>
        </w:tc>
        <w:tc>
          <w:tcPr>
            <w:tcW w:w="880" w:type="dxa"/>
            <w:vAlign w:val="bottom"/>
            <w:gridSpan w:val="4"/>
          </w:tcPr>
          <w:p>
            <w:pPr>
              <w:jc w:val="right"/>
              <w:ind w:right="58"/>
              <w:spacing w:after="0"/>
              <w:rPr>
                <w:sz w:val="20"/>
                <w:szCs w:val="20"/>
                <w:color w:val="auto"/>
              </w:rPr>
            </w:pPr>
            <w:r>
              <w:rPr>
                <w:rFonts w:ascii="Arial" w:cs="Arial" w:eastAsia="Arial" w:hAnsi="Arial"/>
                <w:sz w:val="8"/>
                <w:szCs w:val="8"/>
                <w:b w:val="1"/>
                <w:bCs w:val="1"/>
                <w:color w:val="auto"/>
              </w:rPr>
              <w:t>Preferred Shares</w:t>
            </w:r>
          </w:p>
        </w:tc>
        <w:tc>
          <w:tcPr>
            <w:tcW w:w="40" w:type="dxa"/>
            <w:vAlign w:val="bottom"/>
          </w:tcPr>
          <w:p>
            <w:pPr>
              <w:spacing w:after="0"/>
              <w:rPr>
                <w:sz w:val="10"/>
                <w:szCs w:val="10"/>
                <w:color w:val="auto"/>
              </w:rPr>
            </w:pPr>
          </w:p>
        </w:tc>
        <w:tc>
          <w:tcPr>
            <w:tcW w:w="880" w:type="dxa"/>
            <w:vAlign w:val="bottom"/>
            <w:gridSpan w:val="3"/>
          </w:tcPr>
          <w:p>
            <w:pPr>
              <w:jc w:val="right"/>
              <w:ind w:right="98"/>
              <w:spacing w:after="0"/>
              <w:rPr>
                <w:sz w:val="20"/>
                <w:szCs w:val="20"/>
                <w:color w:val="auto"/>
              </w:rPr>
            </w:pPr>
            <w:r>
              <w:rPr>
                <w:rFonts w:ascii="Arial" w:cs="Arial" w:eastAsia="Arial" w:hAnsi="Arial"/>
                <w:sz w:val="8"/>
                <w:szCs w:val="8"/>
                <w:b w:val="1"/>
                <w:bCs w:val="1"/>
                <w:color w:val="auto"/>
              </w:rPr>
              <w:t>Preferred Share</w:t>
            </w:r>
          </w:p>
        </w:tc>
        <w:tc>
          <w:tcPr>
            <w:tcW w:w="40" w:type="dxa"/>
            <w:vAlign w:val="bottom"/>
          </w:tcPr>
          <w:p>
            <w:pPr>
              <w:spacing w:after="0"/>
              <w:rPr>
                <w:sz w:val="10"/>
                <w:szCs w:val="10"/>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8"/>
                <w:szCs w:val="8"/>
                <w:b w:val="1"/>
                <w:bCs w:val="1"/>
                <w:color w:val="auto"/>
              </w:rPr>
              <w:t>Preferred Share</w:t>
            </w:r>
          </w:p>
        </w:tc>
        <w:tc>
          <w:tcPr>
            <w:tcW w:w="900" w:type="dxa"/>
            <w:vAlign w:val="bottom"/>
            <w:gridSpan w:val="4"/>
          </w:tcPr>
          <w:p>
            <w:pPr>
              <w:jc w:val="right"/>
              <w:ind w:right="160"/>
              <w:spacing w:after="0"/>
              <w:rPr>
                <w:sz w:val="20"/>
                <w:szCs w:val="20"/>
                <w:color w:val="auto"/>
              </w:rPr>
            </w:pPr>
            <w:r>
              <w:rPr>
                <w:rFonts w:ascii="Arial" w:cs="Arial" w:eastAsia="Arial" w:hAnsi="Arial"/>
                <w:sz w:val="8"/>
                <w:szCs w:val="8"/>
                <w:b w:val="1"/>
                <w:bCs w:val="1"/>
                <w:color w:val="auto"/>
              </w:rPr>
              <w:t>Preferred Share</w:t>
            </w: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Preferre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Number</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jc w:val="right"/>
              <w:ind w:right="18"/>
              <w:spacing w:after="0"/>
              <w:rPr>
                <w:sz w:val="20"/>
                <w:szCs w:val="20"/>
                <w:color w:val="auto"/>
              </w:rPr>
            </w:pPr>
            <w:r>
              <w:rPr>
                <w:rFonts w:ascii="Arial" w:cs="Arial" w:eastAsia="Arial" w:hAnsi="Arial"/>
                <w:sz w:val="8"/>
                <w:szCs w:val="8"/>
                <w:b w:val="1"/>
                <w:bCs w:val="1"/>
                <w:color w:val="auto"/>
              </w:rPr>
              <w:t>Number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Number</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Arial" w:cs="Arial" w:eastAsia="Arial" w:hAnsi="Arial"/>
                <w:sz w:val="8"/>
                <w:szCs w:val="8"/>
                <w:b w:val="1"/>
                <w:bCs w:val="1"/>
                <w:color w:val="auto"/>
              </w:rPr>
              <w:t>Number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ind w:right="18"/>
              <w:spacing w:after="0"/>
              <w:rPr>
                <w:sz w:val="20"/>
                <w:szCs w:val="20"/>
                <w:color w:val="auto"/>
              </w:rPr>
            </w:pPr>
            <w:r>
              <w:rPr>
                <w:rFonts w:ascii="Arial" w:cs="Arial" w:eastAsia="Arial" w:hAnsi="Arial"/>
                <w:sz w:val="8"/>
                <w:szCs w:val="8"/>
                <w:b w:val="1"/>
                <w:bCs w:val="1"/>
                <w:color w:val="auto"/>
              </w:rPr>
              <w:t>Number</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Number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Number</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Number</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right"/>
              <w:ind w:right="38"/>
              <w:spacing w:after="0"/>
              <w:rPr>
                <w:sz w:val="20"/>
                <w:szCs w:val="20"/>
                <w:color w:val="auto"/>
              </w:rPr>
            </w:pPr>
            <w:r>
              <w:rPr>
                <w:rFonts w:ascii="Arial" w:cs="Arial" w:eastAsia="Arial" w:hAnsi="Arial"/>
                <w:sz w:val="8"/>
                <w:szCs w:val="8"/>
                <w:b w:val="1"/>
                <w:bCs w:val="1"/>
                <w:color w:val="auto"/>
              </w:rPr>
              <w:t>Number</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5"/>
          </w:tcPr>
          <w:p>
            <w:pPr>
              <w:jc w:val="center"/>
              <w:spacing w:after="0"/>
              <w:rPr>
                <w:sz w:val="20"/>
                <w:szCs w:val="20"/>
                <w:color w:val="auto"/>
              </w:rPr>
            </w:pPr>
            <w:r>
              <w:rPr>
                <w:rFonts w:ascii="Arial" w:cs="Arial" w:eastAsia="Arial" w:hAnsi="Arial"/>
                <w:sz w:val="8"/>
                <w:szCs w:val="8"/>
                <w:b w:val="1"/>
                <w:bCs w:val="1"/>
                <w:color w:val="auto"/>
              </w:rPr>
              <w:t>of shares Amount</w:t>
            </w: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40" w:type="dxa"/>
            <w:vAlign w:val="bottom"/>
          </w:tcPr>
          <w:p>
            <w:pPr>
              <w:spacing w:after="0"/>
              <w:rPr>
                <w:sz w:val="10"/>
                <w:szCs w:val="10"/>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8"/>
                <w:szCs w:val="8"/>
                <w:b w:val="1"/>
                <w:bCs w:val="1"/>
                <w:color w:val="auto"/>
                <w:w w:val="99"/>
              </w:rPr>
              <w:t>Amount</w:t>
            </w: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400" w:type="dxa"/>
            <w:vAlign w:val="bottom"/>
            <w:gridSpan w:val="3"/>
          </w:tcPr>
          <w:p>
            <w:pPr>
              <w:jc w:val="center"/>
              <w:spacing w:after="0"/>
              <w:rPr>
                <w:sz w:val="20"/>
                <w:szCs w:val="20"/>
                <w:color w:val="auto"/>
              </w:rPr>
            </w:pPr>
            <w:r>
              <w:rPr>
                <w:rFonts w:ascii="Arial" w:cs="Arial" w:eastAsia="Arial" w:hAnsi="Arial"/>
                <w:sz w:val="8"/>
                <w:szCs w:val="8"/>
                <w:b w:val="1"/>
                <w:bCs w:val="1"/>
                <w:color w:val="auto"/>
              </w:rPr>
              <w:t>Amount</w:t>
            </w:r>
          </w:p>
        </w:tc>
        <w:tc>
          <w:tcPr>
            <w:tcW w:w="44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of shares</w:t>
            </w:r>
          </w:p>
        </w:tc>
        <w:tc>
          <w:tcPr>
            <w:tcW w:w="36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w w:val="99"/>
              </w:rPr>
              <w:t>Amount</w:t>
            </w: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0"/>
                <w:szCs w:val="1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of shares</w:t>
            </w:r>
          </w:p>
        </w:tc>
        <w:tc>
          <w:tcPr>
            <w:tcW w:w="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rPr>
              <w:t>of shares</w:t>
            </w:r>
          </w:p>
        </w:tc>
        <w:tc>
          <w:tcPr>
            <w:tcW w:w="380" w:type="dxa"/>
            <w:vAlign w:val="bottom"/>
          </w:tcPr>
          <w:p>
            <w:pPr>
              <w:jc w:val="right"/>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40" w:type="dxa"/>
            <w:vAlign w:val="bottom"/>
          </w:tcPr>
          <w:p>
            <w:pPr>
              <w:spacing w:after="0"/>
              <w:rPr>
                <w:sz w:val="10"/>
                <w:szCs w:val="10"/>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w w:val="99"/>
              </w:rPr>
              <w:t>Amount</w:t>
            </w: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40" w:type="dxa"/>
            <w:vAlign w:val="bottom"/>
          </w:tcPr>
          <w:p>
            <w:pPr>
              <w:spacing w:after="0"/>
              <w:rPr>
                <w:sz w:val="10"/>
                <w:szCs w:val="1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8"/>
                <w:szCs w:val="8"/>
                <w:b w:val="1"/>
                <w:bCs w:val="1"/>
                <w:color w:val="auto"/>
              </w:rPr>
              <w:t>of shares</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8"/>
                <w:szCs w:val="8"/>
                <w:b w:val="1"/>
                <w:bCs w:val="1"/>
                <w:color w:val="auto"/>
              </w:rPr>
              <w:t>RMB</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rPr>
              <w:t>RMB</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RMB</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58"/>
              <w:spacing w:after="0"/>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jc w:val="right"/>
              <w:ind w:right="58"/>
              <w:spacing w:after="0"/>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right"/>
              <w:ind w:right="58"/>
              <w:spacing w:after="0"/>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8"/>
                <w:szCs w:val="8"/>
                <w:b w:val="1"/>
                <w:bCs w:val="1"/>
                <w:color w:val="auto"/>
                <w:w w:val="98"/>
              </w:rPr>
              <w:t>RMB</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RMB</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680" w:type="dxa"/>
            <w:vAlign w:val="bottom"/>
            <w:shd w:val="clear" w:color="auto" w:fill="CCEEFF"/>
          </w:tcPr>
          <w:p>
            <w:pPr>
              <w:spacing w:after="0" w:line="81" w:lineRule="exact"/>
              <w:rPr>
                <w:sz w:val="20"/>
                <w:szCs w:val="20"/>
                <w:color w:val="auto"/>
              </w:rPr>
            </w:pPr>
            <w:r>
              <w:rPr>
                <w:rFonts w:ascii="Arial" w:cs="Arial" w:eastAsia="Arial" w:hAnsi="Arial"/>
                <w:sz w:val="8"/>
                <w:szCs w:val="8"/>
                <w:b w:val="1"/>
                <w:bCs w:val="1"/>
                <w:color w:val="auto"/>
              </w:rPr>
              <w:t>Balance as of</w:t>
            </w: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8"/>
                <w:szCs w:val="8"/>
                <w:b w:val="1"/>
                <w:bCs w:val="1"/>
                <w:color w:val="auto"/>
              </w:rPr>
              <w:t>December 31,</w:t>
            </w: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8"/>
                <w:szCs w:val="8"/>
                <w:b w:val="1"/>
                <w:bCs w:val="1"/>
                <w:color w:val="auto"/>
              </w:rPr>
              <w:t>2023</w:t>
            </w: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6,250,000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28,983</w:t>
            </w:r>
          </w:p>
        </w:tc>
        <w:tc>
          <w:tcPr>
            <w:tcW w:w="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8"/>
                <w:szCs w:val="8"/>
                <w:b w:val="1"/>
                <w:bCs w:val="1"/>
                <w:color w:val="auto"/>
              </w:rPr>
              <w:t>46,135,648 213,941</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99"/>
              </w:rPr>
              <w:t>11,185,680</w:t>
            </w: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53,777</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99"/>
              </w:rPr>
              <w:t>88,188,400</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666,484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98"/>
              </w:rPr>
              <w:t>149,920,280</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1,718,977</w:t>
            </w: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8"/>
                <w:szCs w:val="8"/>
                <w:b w:val="1"/>
                <w:bCs w:val="1"/>
                <w:color w:val="auto"/>
              </w:rPr>
              <w:t>108,466,752 1,350,219</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8"/>
                <w:szCs w:val="8"/>
                <w:b w:val="1"/>
                <w:bCs w:val="1"/>
                <w:color w:val="auto"/>
              </w:rPr>
              <w:t>166,052,206 2,620,228</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43,099,293</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1,125,220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98"/>
              </w:rPr>
              <w:t>160,532,881</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5,186,508</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94"/>
              </w:rPr>
              <w:t>24,422,238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spacing w:after="0" w:line="81" w:lineRule="exact"/>
              <w:rPr>
                <w:sz w:val="20"/>
                <w:szCs w:val="20"/>
                <w:color w:val="auto"/>
              </w:rPr>
            </w:pPr>
            <w:r>
              <w:rPr>
                <w:rFonts w:ascii="Arial" w:cs="Arial" w:eastAsia="Arial" w:hAnsi="Arial"/>
                <w:sz w:val="8"/>
                <w:szCs w:val="8"/>
                <w:color w:val="auto"/>
              </w:rPr>
              <w:t>Accretion to</w:t>
            </w: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Preferred</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Shares</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redemption</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value</w:t>
            </w:r>
          </w:p>
        </w:tc>
        <w:tc>
          <w:tcPr>
            <w:tcW w:w="2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8"/>
                <w:szCs w:val="8"/>
                <w:color w:val="auto"/>
              </w:rPr>
              <w:t>(4,457)</w:t>
            </w: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8"/>
                <w:szCs w:val="8"/>
                <w:color w:val="auto"/>
              </w:rPr>
              <w:t>(32,902)</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40"/>
              <w:spacing w:after="0"/>
              <w:rPr>
                <w:sz w:val="20"/>
                <w:szCs w:val="20"/>
                <w:color w:val="auto"/>
              </w:rPr>
            </w:pPr>
            <w:r>
              <w:rPr>
                <w:rFonts w:ascii="Arial" w:cs="Arial" w:eastAsia="Arial" w:hAnsi="Arial"/>
                <w:sz w:val="8"/>
                <w:szCs w:val="8"/>
                <w:color w:val="auto"/>
              </w:rPr>
              <w:t>(3,245)</w:t>
            </w:r>
          </w:p>
        </w:tc>
        <w:tc>
          <w:tcPr>
            <w:tcW w:w="44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8"/>
                <w:szCs w:val="8"/>
                <w:color w:val="auto"/>
              </w:rPr>
              <w:t>79,979</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205,953</w:t>
            </w:r>
          </w:p>
        </w:tc>
        <w:tc>
          <w:tcPr>
            <w:tcW w:w="4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400" w:type="dxa"/>
            <w:vAlign w:val="bottom"/>
            <w:gridSpan w:val="2"/>
          </w:tcPr>
          <w:p>
            <w:pPr>
              <w:jc w:val="right"/>
              <w:spacing w:after="0"/>
              <w:rPr>
                <w:sz w:val="20"/>
                <w:szCs w:val="20"/>
                <w:color w:val="auto"/>
              </w:rPr>
            </w:pPr>
            <w:r>
              <w:rPr>
                <w:rFonts w:ascii="Arial" w:cs="Arial" w:eastAsia="Arial" w:hAnsi="Arial"/>
                <w:sz w:val="8"/>
                <w:szCs w:val="8"/>
                <w:color w:val="auto"/>
              </w:rPr>
              <w:t>161,852</w:t>
            </w:r>
          </w:p>
        </w:tc>
        <w:tc>
          <w:tcPr>
            <w:tcW w:w="4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313,876</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8"/>
                <w:szCs w:val="8"/>
                <w:color w:val="auto"/>
              </w:rPr>
              <w:t>134,798</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622,174</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Borders>
              <w:top w:val="single" w:sz="8" w:color="CCEEFF"/>
            </w:tcBorders>
            <w:shd w:val="clear" w:color="auto" w:fill="CCEEFF"/>
          </w:tcPr>
          <w:p>
            <w:pPr>
              <w:spacing w:after="0" w:line="71" w:lineRule="exact"/>
              <w:rPr>
                <w:sz w:val="20"/>
                <w:szCs w:val="20"/>
                <w:color w:val="auto"/>
              </w:rPr>
            </w:pPr>
            <w:r>
              <w:rPr>
                <w:rFonts w:ascii="Arial" w:cs="Arial" w:eastAsia="Arial" w:hAnsi="Arial"/>
                <w:sz w:val="8"/>
                <w:szCs w:val="8"/>
                <w:b w:val="1"/>
                <w:bCs w:val="1"/>
                <w:color w:val="auto"/>
              </w:rPr>
              <w:t>Balance as of</w:t>
            </w: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8"/>
                <w:szCs w:val="8"/>
                <w:b w:val="1"/>
                <w:bCs w:val="1"/>
                <w:color w:val="auto"/>
              </w:rPr>
              <w:t>December 31,</w:t>
            </w: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8"/>
                <w:szCs w:val="8"/>
                <w:b w:val="1"/>
                <w:bCs w:val="1"/>
                <w:color w:val="auto"/>
              </w:rPr>
              <w:t>2024</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6,250,000</w:t>
            </w: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24,526</w:t>
            </w:r>
          </w:p>
        </w:tc>
        <w:tc>
          <w:tcPr>
            <w:tcW w:w="40" w:type="dxa"/>
            <w:vAlign w:val="bottom"/>
            <w:shd w:val="clear" w:color="auto" w:fill="CCEEFF"/>
          </w:tcPr>
          <w:p>
            <w:pPr>
              <w:spacing w:after="0"/>
              <w:rPr>
                <w:sz w:val="10"/>
                <w:szCs w:val="1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8"/>
                <w:szCs w:val="8"/>
                <w:b w:val="1"/>
                <w:bCs w:val="1"/>
                <w:color w:val="auto"/>
              </w:rPr>
              <w:t>46,135,648 181,039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9"/>
              </w:rPr>
              <w:t>11,185,680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50,532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99"/>
              </w:rPr>
              <w:t>88,188,400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746,463</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8"/>
              </w:rPr>
              <w:t>149,920,280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1,924,930</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8"/>
                <w:szCs w:val="8"/>
                <w:b w:val="1"/>
                <w:bCs w:val="1"/>
                <w:color w:val="auto"/>
              </w:rPr>
              <w:t>108,466,752 1,512,071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8"/>
                <w:szCs w:val="8"/>
                <w:b w:val="1"/>
                <w:bCs w:val="1"/>
                <w:color w:val="auto"/>
              </w:rPr>
              <w:t>166,052,206 2,934,104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43,099,293</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1,260,018</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8"/>
              </w:rPr>
              <w:t>160,532,881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5,808,682</w:t>
            </w: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4"/>
              </w:rPr>
              <w:t>24,422,238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spacing w:after="0" w:line="72" w:lineRule="exact"/>
              <w:rPr>
                <w:sz w:val="20"/>
                <w:szCs w:val="20"/>
                <w:color w:val="auto"/>
              </w:rPr>
            </w:pPr>
            <w:r>
              <w:rPr>
                <w:rFonts w:ascii="Arial" w:cs="Arial" w:eastAsia="Arial" w:hAnsi="Arial"/>
                <w:sz w:val="8"/>
                <w:szCs w:val="8"/>
                <w:color w:val="auto"/>
              </w:rPr>
              <w:t>Accretion to</w:t>
            </w: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Preferred</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Shares</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redemption</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8"/>
                <w:szCs w:val="8"/>
                <w:color w:val="auto"/>
              </w:rPr>
              <w:t>value</w:t>
            </w:r>
          </w:p>
        </w:tc>
        <w:tc>
          <w:tcPr>
            <w:tcW w:w="2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w:t>
            </w:r>
          </w:p>
        </w:tc>
        <w:tc>
          <w:tcPr>
            <w:tcW w:w="280" w:type="dxa"/>
            <w:vAlign w:val="bottom"/>
          </w:tcPr>
          <w:p>
            <w:pPr>
              <w:jc w:val="right"/>
              <w:spacing w:after="0"/>
              <w:rPr>
                <w:sz w:val="20"/>
                <w:szCs w:val="20"/>
                <w:color w:val="auto"/>
              </w:rPr>
            </w:pPr>
            <w:r>
              <w:rPr>
                <w:rFonts w:ascii="Arial" w:cs="Arial" w:eastAsia="Arial" w:hAnsi="Arial"/>
                <w:sz w:val="8"/>
                <w:szCs w:val="8"/>
                <w:color w:val="auto"/>
              </w:rPr>
              <w:t>1,500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340" w:type="dxa"/>
            <w:vAlign w:val="bottom"/>
            <w:gridSpan w:val="2"/>
          </w:tcPr>
          <w:p>
            <w:pPr>
              <w:jc w:val="right"/>
              <w:spacing w:after="0"/>
              <w:rPr>
                <w:sz w:val="20"/>
                <w:szCs w:val="20"/>
                <w:color w:val="auto"/>
              </w:rPr>
            </w:pPr>
            <w:r>
              <w:rPr>
                <w:rFonts w:ascii="Arial" w:cs="Arial" w:eastAsia="Arial" w:hAnsi="Arial"/>
                <w:sz w:val="8"/>
                <w:szCs w:val="8"/>
                <w:color w:val="auto"/>
              </w:rPr>
              <w:t>11,074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0" w:type="dxa"/>
            <w:vAlign w:val="bottom"/>
            <w:gridSpan w:val="3"/>
          </w:tcPr>
          <w:p>
            <w:pPr>
              <w:jc w:val="right"/>
              <w:ind w:right="40"/>
              <w:spacing w:after="0"/>
              <w:rPr>
                <w:sz w:val="20"/>
                <w:szCs w:val="20"/>
                <w:color w:val="auto"/>
              </w:rPr>
            </w:pPr>
            <w:r>
              <w:rPr>
                <w:rFonts w:ascii="Arial" w:cs="Arial" w:eastAsia="Arial" w:hAnsi="Arial"/>
                <w:sz w:val="8"/>
                <w:szCs w:val="8"/>
                <w:color w:val="auto"/>
              </w:rPr>
              <w:t>6,098</w:t>
            </w:r>
          </w:p>
        </w:tc>
        <w:tc>
          <w:tcPr>
            <w:tcW w:w="44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8"/>
                <w:szCs w:val="8"/>
                <w:color w:val="auto"/>
              </w:rPr>
              <w:t>89,912</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231,529</w:t>
            </w:r>
          </w:p>
        </w:tc>
        <w:tc>
          <w:tcPr>
            <w:tcW w:w="4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8"/>
                <w:szCs w:val="8"/>
                <w:color w:val="auto"/>
              </w:rPr>
              <w:t>—</w:t>
            </w:r>
          </w:p>
        </w:tc>
        <w:tc>
          <w:tcPr>
            <w:tcW w:w="400" w:type="dxa"/>
            <w:vAlign w:val="bottom"/>
            <w:gridSpan w:val="2"/>
          </w:tcPr>
          <w:p>
            <w:pPr>
              <w:jc w:val="right"/>
              <w:spacing w:after="0"/>
              <w:rPr>
                <w:sz w:val="20"/>
                <w:szCs w:val="20"/>
                <w:color w:val="auto"/>
              </w:rPr>
            </w:pPr>
            <w:r>
              <w:rPr>
                <w:rFonts w:ascii="Arial" w:cs="Arial" w:eastAsia="Arial" w:hAnsi="Arial"/>
                <w:sz w:val="8"/>
                <w:szCs w:val="8"/>
                <w:color w:val="auto"/>
              </w:rPr>
              <w:t>181,951</w:t>
            </w:r>
          </w:p>
        </w:tc>
        <w:tc>
          <w:tcPr>
            <w:tcW w:w="4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352,856</w:t>
            </w: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40"/>
              <w:spacing w:after="0"/>
              <w:rPr>
                <w:sz w:val="20"/>
                <w:szCs w:val="20"/>
                <w:color w:val="auto"/>
              </w:rPr>
            </w:pPr>
            <w:r>
              <w:rPr>
                <w:rFonts w:ascii="Arial" w:cs="Arial" w:eastAsia="Arial" w:hAnsi="Arial"/>
                <w:sz w:val="8"/>
                <w:szCs w:val="8"/>
                <w:color w:val="auto"/>
              </w:rPr>
              <w:t>151,539</w:t>
            </w: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8"/>
                <w:szCs w:val="8"/>
                <w:color w:val="auto"/>
              </w:rPr>
              <w:t>699,445</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Borders>
              <w:top w:val="single" w:sz="8" w:color="CCEEFF"/>
            </w:tcBorders>
            <w:shd w:val="clear" w:color="auto" w:fill="CCEEFF"/>
          </w:tcPr>
          <w:p>
            <w:pPr>
              <w:spacing w:after="0" w:line="71" w:lineRule="exact"/>
              <w:rPr>
                <w:sz w:val="20"/>
                <w:szCs w:val="20"/>
                <w:color w:val="auto"/>
              </w:rPr>
            </w:pPr>
            <w:r>
              <w:rPr>
                <w:rFonts w:ascii="Arial" w:cs="Arial" w:eastAsia="Arial" w:hAnsi="Arial"/>
                <w:sz w:val="8"/>
                <w:szCs w:val="8"/>
                <w:b w:val="1"/>
                <w:bCs w:val="1"/>
                <w:color w:val="auto"/>
              </w:rPr>
              <w:t>Balance as of</w:t>
            </w: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8"/>
                <w:szCs w:val="8"/>
                <w:b w:val="1"/>
                <w:bCs w:val="1"/>
                <w:color w:val="auto"/>
              </w:rPr>
              <w:t>December 31,</w:t>
            </w: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8"/>
                <w:szCs w:val="8"/>
                <w:b w:val="1"/>
                <w:bCs w:val="1"/>
                <w:color w:val="auto"/>
              </w:rPr>
              <w:t>2025</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6,250,000</w:t>
            </w:r>
          </w:p>
        </w:tc>
        <w:tc>
          <w:tcPr>
            <w:tcW w:w="2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rPr>
              <w:t>26,026</w:t>
            </w: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46,135,648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192,113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9"/>
              </w:rPr>
              <w:t>11,185,680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56,630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b w:val="1"/>
                <w:bCs w:val="1"/>
                <w:color w:val="auto"/>
                <w:w w:val="99"/>
              </w:rPr>
              <w:t>88,188,400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836,375</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8"/>
              </w:rPr>
              <w:t>149,920,280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2,156,459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108,466,752</w:t>
            </w:r>
          </w:p>
        </w:tc>
        <w:tc>
          <w:tcPr>
            <w:tcW w:w="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1,694,022</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166,052,206</w:t>
            </w:r>
          </w:p>
        </w:tc>
        <w:tc>
          <w:tcPr>
            <w:tcW w:w="38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5"/>
              </w:rPr>
              <w:t>3,286,960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43,099,293</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1,411,557</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8"/>
              </w:rPr>
              <w:t>160,532,881</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6,508,127</w:t>
            </w:r>
          </w:p>
        </w:tc>
        <w:tc>
          <w:tcPr>
            <w:tcW w:w="400" w:type="dxa"/>
            <w:vAlign w:val="bottom"/>
            <w:shd w:val="clear" w:color="auto" w:fill="CCEEFF"/>
          </w:tcPr>
          <w:p>
            <w:pPr>
              <w:jc w:val="right"/>
              <w:spacing w:after="0"/>
              <w:rPr>
                <w:sz w:val="20"/>
                <w:szCs w:val="20"/>
                <w:color w:val="auto"/>
              </w:rPr>
            </w:pPr>
            <w:r>
              <w:rPr>
                <w:rFonts w:ascii="Arial" w:cs="Arial" w:eastAsia="Arial" w:hAnsi="Arial"/>
                <w:sz w:val="8"/>
                <w:szCs w:val="8"/>
                <w:b w:val="1"/>
                <w:bCs w:val="1"/>
                <w:color w:val="auto"/>
                <w:w w:val="94"/>
              </w:rPr>
              <w:t>24,422,238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spacing w:after="0" w:line="72" w:lineRule="exact"/>
              <w:rPr>
                <w:sz w:val="20"/>
                <w:szCs w:val="20"/>
                <w:color w:val="auto"/>
              </w:rPr>
            </w:pPr>
            <w:r>
              <w:rPr>
                <w:rFonts w:ascii="Arial" w:cs="Arial" w:eastAsia="Arial" w:hAnsi="Arial"/>
                <w:sz w:val="8"/>
                <w:szCs w:val="8"/>
                <w:b w:val="1"/>
                <w:bCs w:val="1"/>
                <w:color w:val="auto"/>
              </w:rPr>
              <w:t>Balance as of</w:t>
            </w: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ind w:left="120"/>
              <w:spacing w:after="0"/>
              <w:rPr>
                <w:sz w:val="20"/>
                <w:szCs w:val="20"/>
                <w:color w:val="auto"/>
              </w:rPr>
            </w:pPr>
            <w:r>
              <w:rPr>
                <w:rFonts w:ascii="Arial" w:cs="Arial" w:eastAsia="Arial" w:hAnsi="Arial"/>
                <w:sz w:val="8"/>
                <w:szCs w:val="8"/>
                <w:b w:val="1"/>
                <w:bCs w:val="1"/>
                <w:color w:val="auto"/>
              </w:rPr>
              <w:t>December 31,</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120"/>
              <w:spacing w:after="0"/>
              <w:rPr>
                <w:sz w:val="20"/>
                <w:szCs w:val="20"/>
                <w:color w:val="auto"/>
              </w:rPr>
            </w:pPr>
            <w:r>
              <w:rPr>
                <w:rFonts w:ascii="Arial" w:cs="Arial" w:eastAsia="Arial" w:hAnsi="Arial"/>
                <w:sz w:val="8"/>
                <w:szCs w:val="8"/>
                <w:b w:val="1"/>
                <w:bCs w:val="1"/>
                <w:color w:val="auto"/>
              </w:rPr>
              <w:t>2025, in US$</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8"/>
                <w:szCs w:val="8"/>
                <w:b w:val="1"/>
                <w:bCs w:val="1"/>
                <w:color w:val="auto"/>
              </w:rPr>
              <w:t>3,722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Arial" w:cs="Arial" w:eastAsia="Arial" w:hAnsi="Arial"/>
                <w:sz w:val="8"/>
                <w:szCs w:val="8"/>
                <w:b w:val="1"/>
                <w:bCs w:val="1"/>
                <w:color w:val="auto"/>
              </w:rPr>
              <w:t>27,472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8"/>
                <w:szCs w:val="8"/>
                <w:b w:val="1"/>
                <w:bCs w:val="1"/>
                <w:color w:val="auto"/>
              </w:rPr>
              <w:t>8,098</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119,600</w:t>
            </w:r>
          </w:p>
        </w:tc>
        <w:tc>
          <w:tcPr>
            <w:tcW w:w="460" w:type="dxa"/>
            <w:vAlign w:val="bottom"/>
          </w:tcPr>
          <w:p>
            <w:pPr>
              <w:spacing w:after="0"/>
              <w:rPr>
                <w:sz w:val="10"/>
                <w:szCs w:val="10"/>
                <w:color w:val="auto"/>
              </w:rPr>
            </w:pPr>
          </w:p>
        </w:tc>
        <w:tc>
          <w:tcPr>
            <w:tcW w:w="420" w:type="dxa"/>
            <w:vAlign w:val="bottom"/>
            <w:gridSpan w:val="2"/>
          </w:tcPr>
          <w:p>
            <w:pPr>
              <w:jc w:val="right"/>
              <w:spacing w:after="0"/>
              <w:rPr>
                <w:sz w:val="20"/>
                <w:szCs w:val="20"/>
                <w:color w:val="auto"/>
              </w:rPr>
            </w:pPr>
            <w:r>
              <w:rPr>
                <w:rFonts w:ascii="Arial" w:cs="Arial" w:eastAsia="Arial" w:hAnsi="Arial"/>
                <w:sz w:val="8"/>
                <w:szCs w:val="8"/>
                <w:b w:val="1"/>
                <w:bCs w:val="1"/>
                <w:color w:val="auto"/>
              </w:rPr>
              <w:t>308,370</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8"/>
                <w:szCs w:val="8"/>
                <w:b w:val="1"/>
                <w:bCs w:val="1"/>
                <w:color w:val="auto"/>
              </w:rPr>
              <w:t>242,242</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8"/>
                <w:szCs w:val="8"/>
                <w:b w:val="1"/>
                <w:bCs w:val="1"/>
                <w:color w:val="auto"/>
              </w:rPr>
              <w:t>470,029</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8"/>
                <w:szCs w:val="8"/>
                <w:b w:val="1"/>
                <w:bCs w:val="1"/>
                <w:color w:val="auto"/>
              </w:rPr>
              <w:t>201,850</w:t>
            </w:r>
          </w:p>
        </w:tc>
        <w:tc>
          <w:tcPr>
            <w:tcW w:w="460" w:type="dxa"/>
            <w:vAlign w:val="bottom"/>
          </w:tcPr>
          <w:p>
            <w:pPr>
              <w:spacing w:after="0"/>
              <w:rPr>
                <w:sz w:val="10"/>
                <w:szCs w:val="1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8"/>
                <w:szCs w:val="8"/>
                <w:b w:val="1"/>
                <w:bCs w:val="1"/>
                <w:color w:val="auto"/>
              </w:rPr>
              <w:t>930,650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No dividends or other distributions have been made or declared in each of the periods presented.</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The liquidation preference amount was RMB7,924,959 (US$1,133,254) as of December 31, 2025.</w:t>
      </w:r>
    </w:p>
    <w:p>
      <w:pPr>
        <w:spacing w:after="0" w:line="112"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10260"/>
          </w:cols>
          <w:pgMar w:left="1440" w:top="230" w:right="218" w:bottom="1440" w:gutter="0" w:footer="0" w:header="0"/>
        </w:sectPr>
      </w:pPr>
    </w:p>
    <w:bookmarkStart w:id="342" w:name="page343"/>
    <w:bookmarkEnd w:id="34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60" w:right="5218" w:hanging="245"/>
        <w:spacing w:after="0" w:line="516" w:lineRule="auto"/>
        <w:tabs>
          <w:tab w:leader="none" w:pos="1642"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SHARE-BASED COMPENSATION </w:t>
      </w:r>
      <w:r>
        <w:rPr>
          <w:rFonts w:ascii="Arial" w:cs="Arial" w:eastAsia="Arial" w:hAnsi="Arial"/>
          <w:sz w:val="13"/>
          <w:szCs w:val="13"/>
          <w:b w:val="1"/>
          <w:bCs w:val="1"/>
          <w:i w:val="1"/>
          <w:iCs w:val="1"/>
          <w:color w:val="auto"/>
        </w:rPr>
        <w:t>Employee option awards</w:t>
      </w:r>
    </w:p>
    <w:p>
      <w:pPr>
        <w:ind w:left="1660"/>
        <w:spacing w:after="0"/>
        <w:rPr>
          <w:rFonts w:ascii="Arial" w:cs="Arial" w:eastAsia="Arial" w:hAnsi="Arial"/>
          <w:sz w:val="13"/>
          <w:szCs w:val="13"/>
          <w:b w:val="1"/>
          <w:bCs w:val="1"/>
          <w:color w:val="auto"/>
        </w:rPr>
      </w:pPr>
      <w:r>
        <w:rPr>
          <w:rFonts w:ascii="Arial" w:cs="Arial" w:eastAsia="Arial" w:hAnsi="Arial"/>
          <w:sz w:val="14"/>
          <w:szCs w:val="14"/>
          <w:u w:val="single" w:color="auto"/>
          <w:color w:val="auto"/>
        </w:rPr>
        <w:t>Share options issued by the Predecessor</w:t>
      </w:r>
    </w:p>
    <w:p>
      <w:pPr>
        <w:spacing w:after="0" w:line="119"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On June 30, 2015, the Predecessor’s shareholders and Board of Directors approved the 2015 Share Option Plan (“2015 Plan”), pursuant to which the Predecessor reserved 25,258,440 ordinary shares in the form of options for grants to its employees. On June 23, 2017, the Predecessor increased the maximum number of shares available for grants to 66,674,019 ordinary shares.</w:t>
      </w:r>
    </w:p>
    <w:p>
      <w:pPr>
        <w:spacing w:after="0" w:line="90"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On June 6, 2018, the Predecessor adopted the 2018 Amended and Restated Share Option Plan (the “2018 Plan”) which modified the 2015 Plan by increasing the minimum exercise price for each option from US$0.01 to US$0.2551 per option, unless subsequently revised by the Predecessor’s Board of Directors at its discretion. On January 1, 2020, the Predecessor further amended the 2018 Plan (the “2019 Plan”) which further increased the minimum exercise price to US$0.58006 per option, unless subsequently revised at the discretion of the Predecessor’s Board of Directors. The two amendments to the share option plan did not affect previously granted awards, and therefore did not result in modification accounting.</w:t>
      </w:r>
    </w:p>
    <w:p>
      <w:pPr>
        <w:spacing w:after="0" w:line="98"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options granted under the Predecessor’s plans generally vest over a period of four years, with 25% of the total shares vesting on first-, second-, third-, and fourth anniversaries of the vesting commencement date. Further, all grantees are restricted from exercising any options granted under the plans until the completion of the Predecessor’s IPO.</w:t>
      </w:r>
    </w:p>
    <w:p>
      <w:pPr>
        <w:spacing w:after="0" w:line="90"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May 2020, the Predecessor granted 2,507,698 warrants to key employees and selling shareholders of Beijing Yunyang as part of its acquisition. 1,444,448 of the warrants were issued to Beijing Yunyang employees as share-based awards and contained service and performance conditions. The warrants vest ratably over 4 years and require the grantees to remain employed by the Predecessor. The grantees are restricted from exercising the warrants until the completion of the Predecessor’s IPO.</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The following table presents the activities related to Yunyang warrants and options under the Predecessor’s Plan granted to the Company’s employees during the years ended December 31, 2023, 2024 and 2025:</w:t>
      </w:r>
    </w:p>
    <w:p>
      <w:pPr>
        <w:spacing w:after="0" w:line="103"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remaining</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8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exercise</w:t>
            </w: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grant-date</w:t>
            </w:r>
          </w:p>
        </w:tc>
        <w:tc>
          <w:tcPr>
            <w:tcW w:w="10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contractual</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options</w:t>
            </w:r>
          </w:p>
        </w:tc>
        <w:tc>
          <w:tcPr>
            <w:tcW w:w="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price</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US$</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US$</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9"/>
              </w:rPr>
              <w:t>Years</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January 1, 2023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34,571,031</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0.34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21,026</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20"/>
                <w:szCs w:val="20"/>
                <w:color w:val="auto"/>
              </w:rPr>
            </w:pPr>
            <w:r>
              <w:rPr>
                <w:rFonts w:ascii="Arial" w:cs="Arial" w:eastAsia="Arial" w:hAnsi="Arial"/>
                <w:sz w:val="14"/>
                <w:szCs w:val="14"/>
                <w:color w:val="auto"/>
              </w:rPr>
              <w:t>Granted</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46,751</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0.58</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(1,586,453)</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0.44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7"/>
        </w:trPr>
        <w:tc>
          <w:tcPr>
            <w:tcW w:w="2180" w:type="dxa"/>
            <w:vAlign w:val="bottom"/>
          </w:tcPr>
          <w:p>
            <w:pPr>
              <w:spacing w:after="0" w:line="137" w:lineRule="exact"/>
              <w:rPr>
                <w:sz w:val="20"/>
                <w:szCs w:val="20"/>
                <w:color w:val="auto"/>
              </w:rPr>
            </w:pPr>
            <w:r>
              <w:rPr>
                <w:rFonts w:ascii="Arial" w:cs="Arial" w:eastAsia="Arial" w:hAnsi="Arial"/>
                <w:sz w:val="14"/>
                <w:szCs w:val="14"/>
                <w:color w:val="auto"/>
              </w:rPr>
              <w:t>Outstanding prior to the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140"/>
              <w:spacing w:after="0"/>
              <w:rPr>
                <w:sz w:val="20"/>
                <w:szCs w:val="20"/>
                <w:color w:val="auto"/>
              </w:rPr>
            </w:pPr>
            <w:r>
              <w:rPr>
                <w:rFonts w:ascii="Arial" w:cs="Arial" w:eastAsia="Arial" w:hAnsi="Arial"/>
                <w:sz w:val="14"/>
                <w:szCs w:val="14"/>
                <w:color w:val="auto"/>
              </w:rPr>
              <w:t>Restructuring date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33,031,329</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0.34</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0.62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9.24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10,176</w:t>
            </w:r>
          </w:p>
        </w:tc>
        <w:tc>
          <w:tcPr>
            <w:tcW w:w="0" w:type="dxa"/>
            <w:vAlign w:val="bottom"/>
          </w:tcPr>
          <w:p>
            <w:pPr>
              <w:spacing w:after="0"/>
              <w:rPr>
                <w:sz w:val="1"/>
                <w:szCs w:val="1"/>
                <w:color w:val="auto"/>
              </w:rPr>
            </w:pPr>
          </w:p>
        </w:tc>
      </w:tr>
      <w:tr>
        <w:trPr>
          <w:trHeight w:val="9"/>
        </w:trPr>
        <w:tc>
          <w:tcPr>
            <w:tcW w:w="218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Forfeited</w:t>
            </w:r>
          </w:p>
        </w:tc>
        <w:tc>
          <w:tcPr>
            <w:tcW w:w="880" w:type="dxa"/>
            <w:vAlign w:val="bottom"/>
            <w:gridSpan w:val="2"/>
            <w:shd w:val="clear" w:color="auto" w:fill="CCEEFF"/>
          </w:tcPr>
          <w:p>
            <w:pPr>
              <w:jc w:val="right"/>
              <w:ind w:right="20"/>
              <w:spacing w:after="0" w:line="10" w:lineRule="exact"/>
              <w:rPr>
                <w:sz w:val="20"/>
                <w:szCs w:val="20"/>
                <w:color w:val="auto"/>
              </w:rPr>
            </w:pPr>
            <w:r>
              <w:rPr>
                <w:rFonts w:ascii="Arial" w:cs="Arial" w:eastAsia="Arial" w:hAnsi="Arial"/>
                <w:sz w:val="1"/>
                <w:szCs w:val="1"/>
                <w:color w:val="auto"/>
              </w:rPr>
              <w:t>(722,559)</w:t>
            </w: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ind w:left="340"/>
              <w:spacing w:after="0" w:line="10" w:lineRule="exact"/>
              <w:rPr>
                <w:sz w:val="20"/>
                <w:szCs w:val="20"/>
                <w:color w:val="auto"/>
              </w:rPr>
            </w:pPr>
            <w:r>
              <w:rPr>
                <w:rFonts w:ascii="Arial" w:cs="Arial" w:eastAsia="Arial" w:hAnsi="Arial"/>
                <w:sz w:val="1"/>
                <w:szCs w:val="1"/>
                <w:color w:val="auto"/>
              </w:rPr>
              <w:t>0.08​</w:t>
            </w: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ind w:left="340"/>
              <w:spacing w:after="0" w:line="10" w:lineRule="exact"/>
              <w:rPr>
                <w:sz w:val="20"/>
                <w:szCs w:val="20"/>
                <w:color w:val="auto"/>
              </w:rPr>
            </w:pPr>
            <w:r>
              <w:rPr>
                <w:rFonts w:ascii="Arial" w:cs="Arial" w:eastAsia="Arial" w:hAnsi="Arial"/>
                <w:sz w:val="1"/>
                <w:szCs w:val="1"/>
                <w:color w:val="auto"/>
              </w:rPr>
              <w:t>0.09​</w:t>
            </w: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jc w:val="right"/>
              <w:spacing w:after="0" w:line="10" w:lineRule="exact"/>
              <w:rPr>
                <w:sz w:val="20"/>
                <w:szCs w:val="20"/>
                <w:color w:val="auto"/>
              </w:rPr>
            </w:pPr>
            <w:r>
              <w:rPr>
                <w:rFonts w:ascii="Arial" w:cs="Arial" w:eastAsia="Arial" w:hAnsi="Arial"/>
                <w:sz w:val="1"/>
                <w:szCs w:val="1"/>
                <w:b w:val="1"/>
                <w:bCs w:val="1"/>
                <w:color w:val="auto"/>
              </w:rPr>
              <w:t>—</w:t>
            </w: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jc w:val="right"/>
              <w:spacing w:after="0" w:line="10"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line="20" w:lineRule="exact"/>
              <w:rPr>
                <w:sz w:val="1"/>
                <w:szCs w:val="1"/>
                <w:color w:val="auto"/>
              </w:rPr>
            </w:pPr>
          </w:p>
        </w:tc>
      </w:tr>
      <w:tr>
        <w:trPr>
          <w:trHeight w:val="107"/>
        </w:trPr>
        <w:tc>
          <w:tcPr>
            <w:tcW w:w="2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0"/>
        </w:trPr>
        <w:tc>
          <w:tcPr>
            <w:tcW w:w="2180" w:type="dxa"/>
            <w:vAlign w:val="bottom"/>
          </w:tcPr>
          <w:p>
            <w:pPr>
              <w:spacing w:after="0" w:line="1" w:lineRule="exact"/>
              <w:rPr>
                <w:sz w:val="20"/>
                <w:szCs w:val="20"/>
                <w:color w:val="auto"/>
              </w:rPr>
            </w:pPr>
            <w:r>
              <w:rPr>
                <w:rFonts w:ascii="Arial" w:cs="Arial" w:eastAsia="Arial" w:hAnsi="Arial"/>
                <w:sz w:val="1"/>
                <w:szCs w:val="1"/>
                <w:color w:val="auto"/>
              </w:rPr>
              <w:t>Outstanding as of December 31,</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ind w:left="340"/>
              <w:spacing w:after="0" w:line="1" w:lineRule="exact"/>
              <w:rPr>
                <w:sz w:val="20"/>
                <w:szCs w:val="20"/>
                <w:color w:val="auto"/>
              </w:rPr>
            </w:pPr>
            <w:r>
              <w:rPr>
                <w:rFonts w:ascii="Arial" w:cs="Arial" w:eastAsia="Arial" w:hAnsi="Arial"/>
                <w:sz w:val="1"/>
                <w:szCs w:val="1"/>
                <w:color w:val="auto"/>
              </w:rPr>
              <w:t>0.06​</w:t>
            </w:r>
          </w:p>
        </w:tc>
        <w:tc>
          <w:tcPr>
            <w:tcW w:w="80" w:type="dxa"/>
            <w:vAlign w:val="bottom"/>
          </w:tcPr>
          <w:p>
            <w:pPr>
              <w:spacing w:after="0" w:line="20" w:lineRule="exact"/>
              <w:rPr>
                <w:sz w:val="1"/>
                <w:szCs w:val="1"/>
                <w:color w:val="auto"/>
              </w:rPr>
            </w:pPr>
          </w:p>
        </w:tc>
        <w:tc>
          <w:tcPr>
            <w:tcW w:w="720" w:type="dxa"/>
            <w:vAlign w:val="bottom"/>
          </w:tcPr>
          <w:p>
            <w:pPr>
              <w:jc w:val="right"/>
              <w:ind w:right="35"/>
              <w:spacing w:after="0" w:line="1" w:lineRule="exact"/>
              <w:rPr>
                <w:sz w:val="20"/>
                <w:szCs w:val="20"/>
                <w:color w:val="auto"/>
              </w:rPr>
            </w:pPr>
            <w:r>
              <w:rPr>
                <w:rFonts w:ascii="Arial" w:cs="Arial" w:eastAsia="Arial" w:hAnsi="Arial"/>
                <w:sz w:val="1"/>
                <w:szCs w:val="1"/>
                <w:color w:val="auto"/>
              </w:rPr>
              <w:t>0.11​</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gridSpan w:val="2"/>
          </w:tcPr>
          <w:p>
            <w:pPr>
              <w:jc w:val="right"/>
              <w:spacing w:after="0"/>
              <w:rPr>
                <w:sz w:val="20"/>
                <w:szCs w:val="20"/>
                <w:color w:val="auto"/>
              </w:rPr>
            </w:pPr>
            <w:r>
              <w:rPr>
                <w:rFonts w:ascii="Arial" w:cs="Arial" w:eastAsia="Arial" w:hAnsi="Arial"/>
                <w:sz w:val="8"/>
                <w:szCs w:val="8"/>
                <w:color w:val="auto"/>
              </w:rPr>
              <w:t>(1)</w:t>
            </w:r>
          </w:p>
        </w:tc>
        <w:tc>
          <w:tcPr>
            <w:tcW w:w="800" w:type="dxa"/>
            <w:vAlign w:val="bottom"/>
            <w:gridSpan w:val="2"/>
          </w:tcPr>
          <w:p>
            <w:pPr>
              <w:jc w:val="right"/>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180" w:type="dxa"/>
            <w:vAlign w:val="bottom"/>
          </w:tcPr>
          <w:p>
            <w:pPr>
              <w:ind w:left="140"/>
              <w:spacing w:after="0"/>
              <w:rPr>
                <w:sz w:val="20"/>
                <w:szCs w:val="20"/>
                <w:color w:val="auto"/>
              </w:rPr>
            </w:pPr>
            <w:r>
              <w:rPr>
                <w:rFonts w:ascii="Arial" w:cs="Arial" w:eastAsia="Arial" w:hAnsi="Arial"/>
                <w:sz w:val="14"/>
                <w:szCs w:val="14"/>
                <w:color w:val="auto"/>
              </w:rPr>
              <w:t>2023</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32,308,770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Vested and expected to vest as of</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32,308,770</w:t>
            </w:r>
          </w:p>
        </w:tc>
        <w:tc>
          <w:tcPr>
            <w:tcW w:w="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4"/>
                <w:szCs w:val="14"/>
                <w:color w:val="auto"/>
              </w:rPr>
              <w:t>0.11​</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0" w:type="dxa"/>
            <w:vAlign w:val="bottom"/>
          </w:tcPr>
          <w:p>
            <w:pPr>
              <w:spacing w:after="0"/>
              <w:rPr>
                <w:sz w:val="1"/>
                <w:szCs w:val="1"/>
                <w:color w:val="auto"/>
              </w:rPr>
            </w:pPr>
          </w:p>
        </w:tc>
      </w:tr>
      <w:tr>
        <w:trPr>
          <w:trHeight w:val="29"/>
        </w:trPr>
        <w:tc>
          <w:tcPr>
            <w:tcW w:w="2180" w:type="dxa"/>
            <w:vAlign w:val="bottom"/>
            <w:shd w:val="clear" w:color="auto" w:fill="CCEEFF"/>
          </w:tcPr>
          <w:p>
            <w:pPr>
              <w:ind w:left="140"/>
              <w:spacing w:after="0" w:line="30" w:lineRule="exact"/>
              <w:rPr>
                <w:sz w:val="20"/>
                <w:szCs w:val="20"/>
                <w:color w:val="auto"/>
              </w:rPr>
            </w:pPr>
            <w:r>
              <w:rPr>
                <w:rFonts w:ascii="Arial" w:cs="Arial" w:eastAsia="Arial" w:hAnsi="Arial"/>
                <w:sz w:val="3"/>
                <w:szCs w:val="3"/>
                <w:color w:val="auto"/>
              </w:rPr>
              <w:t>December 31, 2023</w:t>
            </w:r>
          </w:p>
        </w:tc>
        <w:tc>
          <w:tcPr>
            <w:tcW w:w="880" w:type="dxa"/>
            <w:vAlign w:val="bottom"/>
            <w:gridSpan w:val="2"/>
            <w:vMerge w:val="continue"/>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7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60" w:type="dxa"/>
            <w:vAlign w:val="bottom"/>
            <w:gridSpan w:val="2"/>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2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color w:val="auto"/>
              </w:rPr>
              <w:t>F-45</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43" w:name="page344"/>
    <w:bookmarkEnd w:id="34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14. SHARE-BASED COMPENSATION (cont.)</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Weighted-</w:t>
            </w:r>
          </w:p>
        </w:tc>
        <w:tc>
          <w:tcPr>
            <w:tcW w:w="700" w:type="dxa"/>
            <w:vAlign w:val="bottom"/>
          </w:tcPr>
          <w:p>
            <w:pPr>
              <w:spacing w:after="0"/>
              <w:rPr>
                <w:sz w:val="10"/>
                <w:szCs w:val="10"/>
                <w:color w:val="auto"/>
              </w:rPr>
            </w:pPr>
          </w:p>
        </w:tc>
      </w:tr>
      <w:tr>
        <w:trPr>
          <w:trHeight w:val="12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7"/>
              </w:rPr>
              <w:t>Weighted-</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10"/>
                <w:szCs w:val="10"/>
                <w:color w:val="auto"/>
              </w:rPr>
            </w:pPr>
          </w:p>
        </w:tc>
        <w:tc>
          <w:tcPr>
            <w:tcW w:w="80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average</w:t>
            </w:r>
          </w:p>
        </w:tc>
        <w:tc>
          <w:tcPr>
            <w:tcW w:w="700" w:type="dxa"/>
            <w:vAlign w:val="bottom"/>
          </w:tcPr>
          <w:p>
            <w:pPr>
              <w:spacing w:after="0"/>
              <w:rPr>
                <w:sz w:val="10"/>
                <w:szCs w:val="10"/>
                <w:color w:val="auto"/>
              </w:rPr>
            </w:pPr>
          </w:p>
        </w:tc>
      </w:tr>
      <w:tr>
        <w:trPr>
          <w:trHeight w:val="12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6"/>
              </w:rPr>
              <w:t>average</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w w:val="98"/>
              </w:rPr>
              <w:t>remaining</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Aggregate</w:t>
            </w:r>
          </w:p>
        </w:tc>
      </w:tr>
      <w:tr>
        <w:trPr>
          <w:trHeight w:val="125"/>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6"/>
              <w:spacing w:after="0" w:line="12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exercise</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grant-date</w:t>
            </w: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contractual</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8"/>
              </w:rPr>
              <w:t>intrinsic</w:t>
            </w:r>
          </w:p>
        </w:tc>
      </w:tr>
      <w:tr>
        <w:trPr>
          <w:trHeight w:val="156"/>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36"/>
              <w:spacing w:after="0"/>
              <w:rPr>
                <w:sz w:val="20"/>
                <w:szCs w:val="20"/>
                <w:color w:val="auto"/>
              </w:rPr>
            </w:pPr>
            <w:r>
              <w:rPr>
                <w:rFonts w:ascii="Arial" w:cs="Arial" w:eastAsia="Arial" w:hAnsi="Arial"/>
                <w:sz w:val="11"/>
                <w:szCs w:val="11"/>
                <w:b w:val="1"/>
                <w:bCs w:val="1"/>
                <w:color w:val="auto"/>
              </w:rPr>
              <w:t>options</w:t>
            </w: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term</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value</w:t>
            </w:r>
          </w:p>
        </w:tc>
      </w:tr>
      <w:tr>
        <w:trPr>
          <w:trHeight w:val="127"/>
        </w:trPr>
        <w:tc>
          <w:tcPr>
            <w:tcW w:w="21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b w:val="1"/>
                <w:bCs w:val="1"/>
                <w:color w:val="auto"/>
              </w:rPr>
              <w:t>Exercisable at December 31,</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205"/>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6"/>
        </w:trPr>
        <w:tc>
          <w:tcPr>
            <w:tcW w:w="2180" w:type="dxa"/>
            <w:vAlign w:val="bottom"/>
          </w:tcPr>
          <w:p>
            <w:pPr>
              <w:spacing w:after="0"/>
              <w:rPr>
                <w:sz w:val="20"/>
                <w:szCs w:val="20"/>
                <w:color w:val="auto"/>
              </w:rPr>
            </w:pPr>
            <w:r>
              <w:rPr>
                <w:rFonts w:ascii="Arial" w:cs="Arial" w:eastAsia="Arial" w:hAnsi="Arial"/>
                <w:sz w:val="14"/>
                <w:szCs w:val="14"/>
                <w:color w:val="auto"/>
              </w:rPr>
              <w:t>Forfeited</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(1,877,058)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as of December 31,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05"/>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2024</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30,431,712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7.76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r>
      <w:tr>
        <w:trPr>
          <w:trHeight w:val="137"/>
        </w:trPr>
        <w:tc>
          <w:tcPr>
            <w:tcW w:w="2180" w:type="dxa"/>
            <w:vAlign w:val="bottom"/>
          </w:tcPr>
          <w:p>
            <w:pPr>
              <w:spacing w:after="0" w:line="137" w:lineRule="exact"/>
              <w:rPr>
                <w:sz w:val="20"/>
                <w:szCs w:val="20"/>
                <w:color w:val="auto"/>
              </w:rPr>
            </w:pPr>
            <w:r>
              <w:rPr>
                <w:rFonts w:ascii="Arial" w:cs="Arial" w:eastAsia="Arial" w:hAnsi="Arial"/>
                <w:sz w:val="14"/>
                <w:szCs w:val="14"/>
                <w:color w:val="auto"/>
              </w:rPr>
              <w:t>Vested and expected to vest as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7"/>
        </w:trPr>
        <w:tc>
          <w:tcPr>
            <w:tcW w:w="2180" w:type="dxa"/>
            <w:vAlign w:val="bottom"/>
          </w:tcPr>
          <w:p>
            <w:pPr>
              <w:ind w:left="140"/>
              <w:spacing w:after="0"/>
              <w:rPr>
                <w:sz w:val="20"/>
                <w:szCs w:val="20"/>
                <w:color w:val="auto"/>
              </w:rPr>
            </w:pPr>
            <w:r>
              <w:rPr>
                <w:rFonts w:ascii="Arial" w:cs="Arial" w:eastAsia="Arial" w:hAnsi="Arial"/>
                <w:sz w:val="14"/>
                <w:szCs w:val="14"/>
                <w:color w:val="auto"/>
              </w:rPr>
              <w:t>December 31, 2024</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30,431,712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0.11</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7.76</w:t>
            </w:r>
          </w:p>
        </w:tc>
        <w:tc>
          <w:tcPr>
            <w:tcW w:w="700" w:type="dxa"/>
            <w:vAlign w:val="bottom"/>
          </w:tcPr>
          <w:p>
            <w:pPr>
              <w:jc w:val="right"/>
              <w:spacing w:after="0"/>
              <w:rPr>
                <w:sz w:val="20"/>
                <w:szCs w:val="20"/>
                <w:color w:val="auto"/>
              </w:rPr>
            </w:pPr>
            <w:r>
              <w:rPr>
                <w:rFonts w:ascii="Arial" w:cs="Arial" w:eastAsia="Arial" w:hAnsi="Arial"/>
                <w:sz w:val="14"/>
                <w:szCs w:val="14"/>
                <w:color w:val="auto"/>
              </w:rPr>
              <w:t>2,042</w:t>
            </w:r>
          </w:p>
        </w:tc>
      </w:tr>
      <w:tr>
        <w:trPr>
          <w:trHeight w:val="155"/>
        </w:trPr>
        <w:tc>
          <w:tcPr>
            <w:tcW w:w="21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Exercisable at December 31,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6"/>
        </w:trPr>
        <w:tc>
          <w:tcPr>
            <w:tcW w:w="2180" w:type="dxa"/>
            <w:vAlign w:val="bottom"/>
          </w:tcPr>
          <w:p>
            <w:pPr>
              <w:spacing w:after="0"/>
              <w:rPr>
                <w:sz w:val="20"/>
                <w:szCs w:val="20"/>
                <w:color w:val="auto"/>
              </w:rPr>
            </w:pPr>
            <w:r>
              <w:rPr>
                <w:rFonts w:ascii="Arial" w:cs="Arial" w:eastAsia="Arial" w:hAnsi="Arial"/>
                <w:sz w:val="14"/>
                <w:szCs w:val="14"/>
                <w:color w:val="auto"/>
              </w:rPr>
              <w:t>Forfeited</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(2,397,349)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as of December 31,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05"/>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2025</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28,034,363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r>
      <w:tr>
        <w:trPr>
          <w:trHeight w:val="137"/>
        </w:trPr>
        <w:tc>
          <w:tcPr>
            <w:tcW w:w="2180" w:type="dxa"/>
            <w:vAlign w:val="bottom"/>
          </w:tcPr>
          <w:p>
            <w:pPr>
              <w:spacing w:after="0" w:line="137" w:lineRule="exact"/>
              <w:rPr>
                <w:sz w:val="20"/>
                <w:szCs w:val="20"/>
                <w:color w:val="auto"/>
              </w:rPr>
            </w:pPr>
            <w:r>
              <w:rPr>
                <w:rFonts w:ascii="Arial" w:cs="Arial" w:eastAsia="Arial" w:hAnsi="Arial"/>
                <w:sz w:val="14"/>
                <w:szCs w:val="14"/>
                <w:color w:val="auto"/>
              </w:rPr>
              <w:t>Vested and expected to vest as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7"/>
        </w:trPr>
        <w:tc>
          <w:tcPr>
            <w:tcW w:w="2180" w:type="dxa"/>
            <w:vAlign w:val="bottom"/>
          </w:tcPr>
          <w:p>
            <w:pPr>
              <w:ind w:left="140"/>
              <w:spacing w:after="0"/>
              <w:rPr>
                <w:sz w:val="20"/>
                <w:szCs w:val="20"/>
                <w:color w:val="auto"/>
              </w:rPr>
            </w:pPr>
            <w:r>
              <w:rPr>
                <w:rFonts w:ascii="Arial" w:cs="Arial" w:eastAsia="Arial" w:hAnsi="Arial"/>
                <w:sz w:val="14"/>
                <w:szCs w:val="14"/>
                <w:color w:val="auto"/>
              </w:rPr>
              <w:t>December 31, 2025</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28,034,363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0.10</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5.64</w:t>
            </w:r>
          </w:p>
        </w:tc>
        <w:tc>
          <w:tcPr>
            <w:tcW w:w="700" w:type="dxa"/>
            <w:vAlign w:val="bottom"/>
          </w:tcPr>
          <w:p>
            <w:pPr>
              <w:jc w:val="right"/>
              <w:spacing w:after="0"/>
              <w:rPr>
                <w:sz w:val="20"/>
                <w:szCs w:val="20"/>
                <w:color w:val="auto"/>
              </w:rPr>
            </w:pPr>
            <w:r>
              <w:rPr>
                <w:rFonts w:ascii="Arial" w:cs="Arial" w:eastAsia="Arial" w:hAnsi="Arial"/>
                <w:sz w:val="14"/>
                <w:szCs w:val="14"/>
                <w:color w:val="auto"/>
              </w:rPr>
              <w:t>1,878</w:t>
            </w:r>
          </w:p>
        </w:tc>
      </w:tr>
      <w:tr>
        <w:trPr>
          <w:trHeight w:val="155"/>
        </w:trPr>
        <w:tc>
          <w:tcPr>
            <w:tcW w:w="21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Exercisable at December 31,</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05"/>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7"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____________</w:t>
      </w:r>
    </w:p>
    <w:p>
      <w:pPr>
        <w:spacing w:after="0" w:line="84" w:lineRule="exact"/>
        <w:rPr>
          <w:sz w:val="20"/>
          <w:szCs w:val="20"/>
          <w:color w:val="auto"/>
        </w:rPr>
      </w:pPr>
    </w:p>
    <w:p>
      <w:pPr>
        <w:jc w:val="both"/>
        <w:ind w:left="1640" w:right="1398" w:hanging="225"/>
        <w:spacing w:after="0" w:line="256" w:lineRule="auto"/>
        <w:tabs>
          <w:tab w:leader="none" w:pos="1637" w:val="left"/>
        </w:tabs>
        <w:numPr>
          <w:ilvl w:val="0"/>
          <w:numId w:val="175"/>
        </w:numPr>
        <w:rPr>
          <w:rFonts w:ascii="Arial" w:cs="Arial" w:eastAsia="Arial" w:hAnsi="Arial"/>
          <w:sz w:val="11"/>
          <w:szCs w:val="11"/>
          <w:color w:val="auto"/>
        </w:rPr>
      </w:pPr>
      <w:r>
        <w:rPr>
          <w:rFonts w:ascii="Arial" w:cs="Arial" w:eastAsia="Arial" w:hAnsi="Arial"/>
          <w:sz w:val="11"/>
          <w:szCs w:val="11"/>
          <w:color w:val="auto"/>
        </w:rPr>
        <w:t>The weighted average exercise price and grant-date fair value was adjusted based on the relative fair value of the Predecessor and the Company upon the issuance of the options under the Company’s 2023 Plan in connection with the Restructuring.</w:t>
      </w:r>
    </w:p>
    <w:p>
      <w:pPr>
        <w:spacing w:after="0" w:line="126" w:lineRule="exact"/>
        <w:rPr>
          <w:sz w:val="20"/>
          <w:szCs w:val="20"/>
          <w:color w:val="auto"/>
        </w:rPr>
      </w:pPr>
    </w:p>
    <w:p>
      <w:pPr>
        <w:ind w:left="1660"/>
        <w:spacing w:after="0"/>
        <w:rPr>
          <w:sz w:val="20"/>
          <w:szCs w:val="20"/>
          <w:color w:val="auto"/>
        </w:rPr>
      </w:pPr>
      <w:r>
        <w:rPr>
          <w:rFonts w:ascii="Arial" w:cs="Arial" w:eastAsia="Arial" w:hAnsi="Arial"/>
          <w:sz w:val="14"/>
          <w:szCs w:val="14"/>
          <w:u w:val="single" w:color="auto"/>
          <w:color w:val="auto"/>
        </w:rPr>
        <w:t>Share options issued by the Company</w:t>
      </w:r>
    </w:p>
    <w:p>
      <w:pPr>
        <w:spacing w:after="0" w:line="109" w:lineRule="exact"/>
        <w:rPr>
          <w:sz w:val="20"/>
          <w:szCs w:val="20"/>
          <w:color w:val="auto"/>
        </w:rPr>
      </w:pPr>
    </w:p>
    <w:p>
      <w:pPr>
        <w:jc w:val="both"/>
        <w:ind w:left="1420" w:right="1398" w:firstLine="249"/>
        <w:spacing w:after="0" w:line="254" w:lineRule="auto"/>
        <w:rPr>
          <w:sz w:val="20"/>
          <w:szCs w:val="20"/>
          <w:color w:val="auto"/>
        </w:rPr>
      </w:pPr>
      <w:r>
        <w:rPr>
          <w:rFonts w:ascii="Arial" w:cs="Arial" w:eastAsia="Arial" w:hAnsi="Arial"/>
          <w:sz w:val="13"/>
          <w:szCs w:val="13"/>
          <w:color w:val="auto"/>
        </w:rPr>
        <w:t>In connection with the Restructuring, the Company adopted a new share option plan (the “2023 Plan”) to mirror the Predecessor’s plans. The Predecessor’s plans contained mandatory equitable adjustment provisions for grantees and as a result each of the Company’s and Predecessor’s employees received the same number of options under the 2023 Plan as the number of options they held under the Predecessor’s plan on the Restructuring Date. The Company also issued the same number of warrants to certain key employees of Beijing Yunyang to mirror their warrants then outstanding held in the Predecessor upon the Restructuring. Accordingly, the Company issued 33,031,329 and 27,977,274 options under the 2023 Plan to both the Company’s and Predecessor’s employees, respectively, on the Restructuring date. Options granted under the 2023 Plan as part of the Restructuring allowed the Company’s and Predecessor’s employee to continue vesting in the awards as long as they remain employed by either DSC Group or the Predecessor. The fair value and exercise prices of the Company’s grants awarded in connection with the Restructuring were adjusted based on the relative fair values of the Company and the Predecessor on the Restructuring date.</w:t>
      </w:r>
    </w:p>
    <w:p>
      <w:pPr>
        <w:spacing w:after="0" w:line="70"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The options and warrants granted under the 2023 Plan as part of the Restructuring contained the same vesting schedule as the corresponding awards under the Predecessor’s Plans, as well as the IPO performance condition. The Company estimated the fair value of the equity awards granted by the Predecessor and the 2023 Plan with the assistance of an independent third-party valuation firm and concluded there was no incremental share-based compensation expense to be recognized as of the Restructuring date.</w:t>
      </w:r>
    </w:p>
    <w:p>
      <w:pPr>
        <w:spacing w:after="0" w:line="11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4" w:name="page345"/>
    <w:bookmarkEnd w:id="344"/>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14. SHARE-BASED COMPENSATION (cont.)</w:t>
      </w:r>
    </w:p>
    <w:p>
      <w:pPr>
        <w:spacing w:after="0" w:line="13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following table presents the activities under the 2023 Plan during the years ended</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December 31, 2023, 2024 and 2025:</w:t>
      </w:r>
    </w:p>
    <w:p>
      <w:pPr>
        <w:spacing w:after="0" w:line="118"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Weighted-</w:t>
            </w:r>
          </w:p>
        </w:tc>
        <w:tc>
          <w:tcPr>
            <w:tcW w:w="660" w:type="dxa"/>
            <w:vAlign w:val="bottom"/>
          </w:tcPr>
          <w:p>
            <w:pPr>
              <w:spacing w:after="0"/>
              <w:rPr>
                <w:sz w:val="10"/>
                <w:szCs w:val="10"/>
                <w:color w:val="auto"/>
              </w:rPr>
            </w:pPr>
          </w:p>
        </w:tc>
      </w:tr>
      <w:tr>
        <w:trPr>
          <w:trHeight w:val="125"/>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w w:val="97"/>
              </w:rPr>
              <w:t>Weighted-</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Weighted-</w:t>
            </w:r>
          </w:p>
        </w:tc>
        <w:tc>
          <w:tcPr>
            <w:tcW w:w="60" w:type="dxa"/>
            <w:vAlign w:val="bottom"/>
          </w:tcPr>
          <w:p>
            <w:pPr>
              <w:spacing w:after="0"/>
              <w:rPr>
                <w:sz w:val="10"/>
                <w:szCs w:val="10"/>
                <w:color w:val="auto"/>
              </w:rPr>
            </w:pPr>
          </w:p>
        </w:tc>
        <w:tc>
          <w:tcPr>
            <w:tcW w:w="80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average</w:t>
            </w:r>
          </w:p>
        </w:tc>
        <w:tc>
          <w:tcPr>
            <w:tcW w:w="660" w:type="dxa"/>
            <w:vAlign w:val="bottom"/>
          </w:tcPr>
          <w:p>
            <w:pPr>
              <w:spacing w:after="0"/>
              <w:rPr>
                <w:sz w:val="10"/>
                <w:szCs w:val="10"/>
                <w:color w:val="auto"/>
              </w:rPr>
            </w:pPr>
          </w:p>
        </w:tc>
      </w:tr>
      <w:tr>
        <w:trPr>
          <w:trHeight w:val="125"/>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00"/>
              <w:spacing w:after="0" w:line="125" w:lineRule="exact"/>
              <w:rPr>
                <w:sz w:val="20"/>
                <w:szCs w:val="20"/>
                <w:color w:val="auto"/>
              </w:rPr>
            </w:pPr>
            <w:r>
              <w:rPr>
                <w:rFonts w:ascii="Arial" w:cs="Arial" w:eastAsia="Arial" w:hAnsi="Arial"/>
                <w:sz w:val="11"/>
                <w:szCs w:val="11"/>
                <w:b w:val="1"/>
                <w:bCs w:val="1"/>
                <w:color w:val="auto"/>
              </w:rPr>
              <w:t>average</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average</w:t>
            </w:r>
          </w:p>
        </w:tc>
        <w:tc>
          <w:tcPr>
            <w:tcW w:w="6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w w:val="98"/>
              </w:rPr>
              <w:t>remaining</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Aggregate</w:t>
            </w:r>
          </w:p>
        </w:tc>
      </w:tr>
      <w:tr>
        <w:trPr>
          <w:trHeight w:val="125"/>
        </w:trPr>
        <w:tc>
          <w:tcPr>
            <w:tcW w:w="2300" w:type="dxa"/>
            <w:vAlign w:val="bottom"/>
          </w:tcPr>
          <w:p>
            <w:pPr>
              <w:spacing w:after="0"/>
              <w:rPr>
                <w:sz w:val="10"/>
                <w:szCs w:val="10"/>
                <w:color w:val="auto"/>
              </w:rPr>
            </w:pPr>
          </w:p>
        </w:tc>
        <w:tc>
          <w:tcPr>
            <w:tcW w:w="800" w:type="dxa"/>
            <w:vAlign w:val="bottom"/>
          </w:tcPr>
          <w:p>
            <w:pPr>
              <w:jc w:val="right"/>
              <w:ind w:right="52"/>
              <w:spacing w:after="0" w:line="12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w w:val="99"/>
              </w:rPr>
              <w:t>exercise</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grant-date</w:t>
            </w:r>
          </w:p>
        </w:tc>
        <w:tc>
          <w:tcPr>
            <w:tcW w:w="60" w:type="dxa"/>
            <w:vAlign w:val="bottom"/>
          </w:tcPr>
          <w:p>
            <w:pPr>
              <w:spacing w:after="0"/>
              <w:rPr>
                <w:sz w:val="10"/>
                <w:szCs w:val="10"/>
                <w:color w:val="auto"/>
              </w:rPr>
            </w:pPr>
          </w:p>
        </w:tc>
        <w:tc>
          <w:tcPr>
            <w:tcW w:w="80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contractual</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8"/>
              </w:rPr>
              <w:t>intrinsic</w:t>
            </w:r>
          </w:p>
        </w:tc>
      </w:tr>
      <w:tr>
        <w:trPr>
          <w:trHeight w:val="160"/>
        </w:trPr>
        <w:tc>
          <w:tcPr>
            <w:tcW w:w="2300" w:type="dxa"/>
            <w:vAlign w:val="bottom"/>
          </w:tcPr>
          <w:p>
            <w:pPr>
              <w:spacing w:after="0"/>
              <w:rPr>
                <w:sz w:val="13"/>
                <w:szCs w:val="13"/>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options</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fair value</w:t>
            </w:r>
          </w:p>
        </w:tc>
        <w:tc>
          <w:tcPr>
            <w:tcW w:w="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term</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value</w:t>
            </w:r>
          </w:p>
        </w:tc>
      </w:tr>
      <w:tr>
        <w:trPr>
          <w:trHeight w:val="208"/>
        </w:trPr>
        <w:tc>
          <w:tcPr>
            <w:tcW w:w="2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US$</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US$</w:t>
            </w:r>
          </w:p>
        </w:tc>
        <w:tc>
          <w:tcPr>
            <w:tcW w:w="6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Years</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US$</w:t>
            </w:r>
          </w:p>
        </w:tc>
      </w:tr>
      <w:tr>
        <w:trPr>
          <w:trHeight w:val="224"/>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January 1, 2023</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2300" w:type="dxa"/>
            <w:vAlign w:val="bottom"/>
          </w:tcPr>
          <w:p>
            <w:pPr>
              <w:spacing w:after="0" w:line="137" w:lineRule="exact"/>
              <w:rPr>
                <w:sz w:val="20"/>
                <w:szCs w:val="20"/>
                <w:color w:val="auto"/>
              </w:rPr>
            </w:pPr>
            <w:r>
              <w:rPr>
                <w:rFonts w:ascii="Arial" w:cs="Arial" w:eastAsia="Arial" w:hAnsi="Arial"/>
                <w:sz w:val="14"/>
                <w:szCs w:val="14"/>
                <w:color w:val="auto"/>
              </w:rPr>
              <w:t>Option awards issued to the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6"/>
        </w:trPr>
        <w:tc>
          <w:tcPr>
            <w:tcW w:w="2300" w:type="dxa"/>
            <w:vAlign w:val="bottom"/>
          </w:tcPr>
          <w:p>
            <w:pPr>
              <w:ind w:left="140"/>
              <w:spacing w:after="0" w:line="156" w:lineRule="exact"/>
              <w:rPr>
                <w:sz w:val="20"/>
                <w:szCs w:val="20"/>
                <w:color w:val="auto"/>
              </w:rPr>
            </w:pPr>
            <w:r>
              <w:rPr>
                <w:rFonts w:ascii="Arial" w:cs="Arial" w:eastAsia="Arial" w:hAnsi="Arial"/>
                <w:sz w:val="14"/>
                <w:szCs w:val="14"/>
                <w:color w:val="auto"/>
              </w:rPr>
              <w:t>Company’s employees as part of</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7"/>
        </w:trPr>
        <w:tc>
          <w:tcPr>
            <w:tcW w:w="2300" w:type="dxa"/>
            <w:vAlign w:val="bottom"/>
          </w:tcPr>
          <w:p>
            <w:pPr>
              <w:ind w:left="140"/>
              <w:spacing w:after="0"/>
              <w:rPr>
                <w:sz w:val="20"/>
                <w:szCs w:val="20"/>
                <w:color w:val="auto"/>
              </w:rPr>
            </w:pPr>
            <w:r>
              <w:rPr>
                <w:rFonts w:ascii="Arial" w:cs="Arial" w:eastAsia="Arial" w:hAnsi="Arial"/>
                <w:sz w:val="14"/>
                <w:szCs w:val="14"/>
                <w:color w:val="auto"/>
              </w:rPr>
              <w:t>Restructuring</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33,031,329</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0.28</w:t>
            </w:r>
          </w:p>
        </w:tc>
        <w:tc>
          <w:tcPr>
            <w:tcW w:w="720" w:type="dxa"/>
            <w:vAlign w:val="bottom"/>
          </w:tcPr>
          <w:p>
            <w:pPr>
              <w:jc w:val="right"/>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2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Option awards issued to the</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6"/>
        </w:trPr>
        <w:tc>
          <w:tcPr>
            <w:tcW w:w="230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Predecessor’s employees as part</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5"/>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Restructuring</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27,977,274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300" w:type="dxa"/>
            <w:vAlign w:val="bottom"/>
          </w:tcPr>
          <w:p>
            <w:pPr>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19,954,933</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0.48</w:t>
            </w:r>
          </w:p>
        </w:tc>
        <w:tc>
          <w:tcPr>
            <w:tcW w:w="720" w:type="dxa"/>
            <w:vAlign w:val="bottom"/>
          </w:tcPr>
          <w:p>
            <w:pPr>
              <w:jc w:val="right"/>
              <w:spacing w:after="0"/>
              <w:rPr>
                <w:sz w:val="20"/>
                <w:szCs w:val="20"/>
                <w:color w:val="auto"/>
              </w:rPr>
            </w:pPr>
            <w:r>
              <w:rPr>
                <w:rFonts w:ascii="Arial" w:cs="Arial" w:eastAsia="Arial" w:hAnsi="Arial"/>
                <w:sz w:val="14"/>
                <w:szCs w:val="14"/>
                <w:color w:val="auto"/>
              </w:rPr>
              <w:t>0.34</w:t>
            </w:r>
          </w:p>
        </w:tc>
        <w:tc>
          <w:tcPr>
            <w:tcW w:w="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(939,121)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2300" w:type="dxa"/>
            <w:vAlign w:val="bottom"/>
          </w:tcPr>
          <w:p>
            <w:pPr>
              <w:spacing w:after="0" w:line="137" w:lineRule="exact"/>
              <w:rPr>
                <w:sz w:val="20"/>
                <w:szCs w:val="20"/>
                <w:color w:val="auto"/>
              </w:rPr>
            </w:pPr>
            <w:r>
              <w:rPr>
                <w:rFonts w:ascii="Arial" w:cs="Arial" w:eastAsia="Arial" w:hAnsi="Arial"/>
                <w:sz w:val="14"/>
                <w:szCs w:val="14"/>
                <w:color w:val="auto"/>
              </w:rPr>
              <w:t>Outstanding as of December 31,</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7"/>
        </w:trPr>
        <w:tc>
          <w:tcPr>
            <w:tcW w:w="2300" w:type="dxa"/>
            <w:vAlign w:val="bottom"/>
          </w:tcPr>
          <w:p>
            <w:pPr>
              <w:ind w:left="140"/>
              <w:spacing w:after="0"/>
              <w:rPr>
                <w:sz w:val="20"/>
                <w:szCs w:val="20"/>
                <w:color w:val="auto"/>
              </w:rPr>
            </w:pPr>
            <w:r>
              <w:rPr>
                <w:rFonts w:ascii="Arial" w:cs="Arial" w:eastAsia="Arial" w:hAnsi="Arial"/>
                <w:sz w:val="14"/>
                <w:szCs w:val="14"/>
                <w:color w:val="auto"/>
              </w:rPr>
              <w:t>2023</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80,024,415</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0.30</w:t>
            </w:r>
          </w:p>
        </w:tc>
        <w:tc>
          <w:tcPr>
            <w:tcW w:w="720" w:type="dxa"/>
            <w:vAlign w:val="bottom"/>
          </w:tcPr>
          <w:p>
            <w:pPr>
              <w:jc w:val="right"/>
              <w:spacing w:after="0"/>
              <w:rPr>
                <w:sz w:val="20"/>
                <w:szCs w:val="20"/>
                <w:color w:val="auto"/>
              </w:rPr>
            </w:pPr>
            <w:r>
              <w:rPr>
                <w:rFonts w:ascii="Arial" w:cs="Arial" w:eastAsia="Arial" w:hAnsi="Arial"/>
                <w:sz w:val="14"/>
                <w:szCs w:val="14"/>
                <w:color w:val="auto"/>
              </w:rPr>
              <w:t>0.45</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8.76</w:t>
            </w:r>
          </w:p>
        </w:tc>
        <w:tc>
          <w:tcPr>
            <w:tcW w:w="660" w:type="dxa"/>
            <w:vAlign w:val="bottom"/>
          </w:tcPr>
          <w:p>
            <w:pPr>
              <w:jc w:val="right"/>
              <w:spacing w:after="0"/>
              <w:rPr>
                <w:sz w:val="20"/>
                <w:szCs w:val="20"/>
                <w:color w:val="auto"/>
              </w:rPr>
            </w:pPr>
            <w:r>
              <w:rPr>
                <w:rFonts w:ascii="Arial" w:cs="Arial" w:eastAsia="Arial" w:hAnsi="Arial"/>
                <w:sz w:val="14"/>
                <w:szCs w:val="14"/>
                <w:color w:val="auto"/>
              </w:rPr>
              <w:t>22,887</w:t>
            </w:r>
          </w:p>
        </w:tc>
      </w:tr>
      <w:tr>
        <w:trPr>
          <w:trHeight w:val="155"/>
        </w:trPr>
        <w:tc>
          <w:tcPr>
            <w:tcW w:w="2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Vested and expected to vest as of</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5"/>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2023</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80,024,415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22,887</w:t>
            </w:r>
          </w:p>
        </w:tc>
      </w:tr>
      <w:tr>
        <w:trPr>
          <w:trHeight w:val="209"/>
        </w:trPr>
        <w:tc>
          <w:tcPr>
            <w:tcW w:w="2300" w:type="dxa"/>
            <w:vAlign w:val="bottom"/>
          </w:tcPr>
          <w:p>
            <w:pPr>
              <w:spacing w:after="0"/>
              <w:rPr>
                <w:sz w:val="20"/>
                <w:szCs w:val="20"/>
                <w:color w:val="auto"/>
              </w:rPr>
            </w:pPr>
            <w:r>
              <w:rPr>
                <w:rFonts w:ascii="Arial" w:cs="Arial" w:eastAsia="Arial" w:hAnsi="Arial"/>
                <w:sz w:val="14"/>
                <w:szCs w:val="14"/>
                <w:color w:val="auto"/>
              </w:rPr>
              <w:t>Exercisable at December 31, 2023</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17,591,182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0.48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300" w:type="dxa"/>
            <w:vAlign w:val="bottom"/>
          </w:tcPr>
          <w:p>
            <w:pPr>
              <w:spacing w:after="0"/>
              <w:rPr>
                <w:sz w:val="20"/>
                <w:szCs w:val="20"/>
                <w:color w:val="auto"/>
              </w:rPr>
            </w:pPr>
            <w:r>
              <w:rPr>
                <w:rFonts w:ascii="Arial" w:cs="Arial" w:eastAsia="Arial" w:hAnsi="Arial"/>
                <w:sz w:val="14"/>
                <w:szCs w:val="14"/>
                <w:color w:val="auto"/>
              </w:rPr>
              <w:t>Forfeited</w:t>
            </w:r>
          </w:p>
        </w:tc>
        <w:tc>
          <w:tcPr>
            <w:tcW w:w="800" w:type="dxa"/>
            <w:vAlign w:val="bottom"/>
          </w:tcPr>
          <w:p>
            <w:pPr>
              <w:jc w:val="right"/>
              <w:spacing w:after="0"/>
              <w:rPr>
                <w:sz w:val="20"/>
                <w:szCs w:val="20"/>
                <w:color w:val="auto"/>
              </w:rPr>
            </w:pPr>
            <w:r>
              <w:rPr>
                <w:rFonts w:ascii="Arial" w:cs="Arial" w:eastAsia="Arial" w:hAnsi="Arial"/>
                <w:sz w:val="14"/>
                <w:szCs w:val="14"/>
                <w:color w:val="auto"/>
              </w:rPr>
              <w:t>(6,272,549)</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0.37</w:t>
            </w:r>
          </w:p>
        </w:tc>
        <w:tc>
          <w:tcPr>
            <w:tcW w:w="720" w:type="dxa"/>
            <w:vAlign w:val="bottom"/>
          </w:tcPr>
          <w:p>
            <w:pPr>
              <w:jc w:val="right"/>
              <w:spacing w:after="0"/>
              <w:rPr>
                <w:sz w:val="20"/>
                <w:szCs w:val="20"/>
                <w:color w:val="auto"/>
              </w:rPr>
            </w:pPr>
            <w:r>
              <w:rPr>
                <w:rFonts w:ascii="Arial" w:cs="Arial" w:eastAsia="Arial" w:hAnsi="Arial"/>
                <w:sz w:val="14"/>
                <w:szCs w:val="14"/>
                <w:color w:val="auto"/>
              </w:rPr>
              <w:t>0.36</w:t>
            </w:r>
          </w:p>
        </w:tc>
        <w:tc>
          <w:tcPr>
            <w:tcW w:w="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2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Outstanding as of December 31,</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5"/>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91,343,048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7.76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20,840</w:t>
            </w:r>
          </w:p>
        </w:tc>
      </w:tr>
      <w:tr>
        <w:trPr>
          <w:trHeight w:val="137"/>
        </w:trPr>
        <w:tc>
          <w:tcPr>
            <w:tcW w:w="2300" w:type="dxa"/>
            <w:vAlign w:val="bottom"/>
          </w:tcPr>
          <w:p>
            <w:pPr>
              <w:spacing w:after="0" w:line="137" w:lineRule="exact"/>
              <w:rPr>
                <w:sz w:val="20"/>
                <w:szCs w:val="20"/>
                <w:color w:val="auto"/>
              </w:rPr>
            </w:pPr>
            <w:r>
              <w:rPr>
                <w:rFonts w:ascii="Arial" w:cs="Arial" w:eastAsia="Arial" w:hAnsi="Arial"/>
                <w:sz w:val="14"/>
                <w:szCs w:val="14"/>
                <w:color w:val="auto"/>
              </w:rPr>
              <w:t>Vested and expected to vest as of</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96"/>
        </w:trPr>
        <w:tc>
          <w:tcPr>
            <w:tcW w:w="2300" w:type="dxa"/>
            <w:vAlign w:val="bottom"/>
          </w:tcPr>
          <w:p>
            <w:pPr>
              <w:ind w:left="140"/>
              <w:spacing w:after="0"/>
              <w:rPr>
                <w:sz w:val="20"/>
                <w:szCs w:val="20"/>
                <w:color w:val="auto"/>
              </w:rPr>
            </w:pPr>
            <w:r>
              <w:rPr>
                <w:rFonts w:ascii="Arial" w:cs="Arial" w:eastAsia="Arial" w:hAnsi="Arial"/>
                <w:sz w:val="14"/>
                <w:szCs w:val="14"/>
                <w:color w:val="auto"/>
              </w:rPr>
              <w:t>December 31, 2024</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91,343,048</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0.38</w:t>
            </w:r>
          </w:p>
        </w:tc>
        <w:tc>
          <w:tcPr>
            <w:tcW w:w="720" w:type="dxa"/>
            <w:vAlign w:val="bottom"/>
          </w:tcPr>
          <w:p>
            <w:pPr>
              <w:jc w:val="right"/>
              <w:spacing w:after="0"/>
              <w:rPr>
                <w:sz w:val="20"/>
                <w:szCs w:val="20"/>
                <w:color w:val="auto"/>
              </w:rPr>
            </w:pPr>
            <w:r>
              <w:rPr>
                <w:rFonts w:ascii="Arial" w:cs="Arial" w:eastAsia="Arial" w:hAnsi="Arial"/>
                <w:sz w:val="14"/>
                <w:szCs w:val="14"/>
                <w:color w:val="auto"/>
              </w:rPr>
              <w:t>0.49</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7.76</w:t>
            </w:r>
          </w:p>
        </w:tc>
        <w:tc>
          <w:tcPr>
            <w:tcW w:w="660" w:type="dxa"/>
            <w:vAlign w:val="bottom"/>
          </w:tcPr>
          <w:p>
            <w:pPr>
              <w:jc w:val="right"/>
              <w:spacing w:after="0"/>
              <w:rPr>
                <w:sz w:val="20"/>
                <w:szCs w:val="20"/>
                <w:color w:val="auto"/>
              </w:rPr>
            </w:pPr>
            <w:r>
              <w:rPr>
                <w:rFonts w:ascii="Arial" w:cs="Arial" w:eastAsia="Arial" w:hAnsi="Arial"/>
                <w:sz w:val="14"/>
                <w:szCs w:val="14"/>
                <w:color w:val="auto"/>
              </w:rPr>
              <w:t>20,840</w:t>
            </w:r>
          </w:p>
        </w:tc>
      </w:tr>
      <w:tr>
        <w:trPr>
          <w:trHeight w:val="22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Exercisable at December 31, 2024</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300" w:type="dxa"/>
            <w:vAlign w:val="bottom"/>
          </w:tcPr>
          <w:p>
            <w:pPr>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2,412,196</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0.48</w:t>
            </w:r>
          </w:p>
        </w:tc>
        <w:tc>
          <w:tcPr>
            <w:tcW w:w="720" w:type="dxa"/>
            <w:vAlign w:val="bottom"/>
          </w:tcPr>
          <w:p>
            <w:pPr>
              <w:jc w:val="right"/>
              <w:spacing w:after="0"/>
              <w:rPr>
                <w:sz w:val="20"/>
                <w:szCs w:val="20"/>
                <w:color w:val="auto"/>
              </w:rPr>
            </w:pPr>
            <w:r>
              <w:rPr>
                <w:rFonts w:ascii="Arial" w:cs="Arial" w:eastAsia="Arial" w:hAnsi="Arial"/>
                <w:sz w:val="14"/>
                <w:szCs w:val="14"/>
                <w:color w:val="auto"/>
              </w:rPr>
              <w:t>0.25</w:t>
            </w:r>
          </w:p>
        </w:tc>
        <w:tc>
          <w:tcPr>
            <w:tcW w:w="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(5,132,490)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0.43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7"/>
        </w:trPr>
        <w:tc>
          <w:tcPr>
            <w:tcW w:w="2300" w:type="dxa"/>
            <w:vAlign w:val="bottom"/>
          </w:tcPr>
          <w:p>
            <w:pPr>
              <w:spacing w:after="0" w:line="137" w:lineRule="exact"/>
              <w:rPr>
                <w:sz w:val="20"/>
                <w:szCs w:val="20"/>
                <w:color w:val="auto"/>
              </w:rPr>
            </w:pPr>
            <w:r>
              <w:rPr>
                <w:rFonts w:ascii="Arial" w:cs="Arial" w:eastAsia="Arial" w:hAnsi="Arial"/>
                <w:sz w:val="14"/>
                <w:szCs w:val="14"/>
                <w:color w:val="auto"/>
              </w:rPr>
              <w:t>Outstanding as of December 31,</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87"/>
        </w:trPr>
        <w:tc>
          <w:tcPr>
            <w:tcW w:w="2300" w:type="dxa"/>
            <w:vAlign w:val="bottom"/>
          </w:tcPr>
          <w:p>
            <w:pPr>
              <w:ind w:left="140"/>
              <w:spacing w:after="0"/>
              <w:rPr>
                <w:sz w:val="20"/>
                <w:szCs w:val="20"/>
                <w:color w:val="auto"/>
              </w:rPr>
            </w:pPr>
            <w:r>
              <w:rPr>
                <w:rFonts w:ascii="Arial" w:cs="Arial" w:eastAsia="Arial" w:hAnsi="Arial"/>
                <w:sz w:val="14"/>
                <w:szCs w:val="14"/>
                <w:color w:val="auto"/>
              </w:rPr>
              <w:t>2025</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88,622,754</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0.30</w:t>
            </w:r>
          </w:p>
        </w:tc>
        <w:tc>
          <w:tcPr>
            <w:tcW w:w="720" w:type="dxa"/>
            <w:vAlign w:val="bottom"/>
          </w:tcPr>
          <w:p>
            <w:pPr>
              <w:jc w:val="right"/>
              <w:spacing w:after="0"/>
              <w:rPr>
                <w:sz w:val="20"/>
                <w:szCs w:val="20"/>
                <w:color w:val="auto"/>
              </w:rPr>
            </w:pPr>
            <w:r>
              <w:rPr>
                <w:rFonts w:ascii="Arial" w:cs="Arial" w:eastAsia="Arial" w:hAnsi="Arial"/>
                <w:sz w:val="14"/>
                <w:szCs w:val="14"/>
                <w:color w:val="auto"/>
              </w:rPr>
              <w:t>0.46</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6.76</w:t>
            </w:r>
          </w:p>
        </w:tc>
        <w:tc>
          <w:tcPr>
            <w:tcW w:w="660" w:type="dxa"/>
            <w:vAlign w:val="bottom"/>
          </w:tcPr>
          <w:p>
            <w:pPr>
              <w:jc w:val="right"/>
              <w:spacing w:after="0"/>
              <w:rPr>
                <w:sz w:val="20"/>
                <w:szCs w:val="20"/>
                <w:color w:val="auto"/>
              </w:rPr>
            </w:pPr>
            <w:r>
              <w:rPr>
                <w:rFonts w:ascii="Arial" w:cs="Arial" w:eastAsia="Arial" w:hAnsi="Arial"/>
                <w:sz w:val="14"/>
                <w:szCs w:val="14"/>
                <w:color w:val="auto"/>
              </w:rPr>
              <w:t>20,325</w:t>
            </w:r>
          </w:p>
        </w:tc>
      </w:tr>
      <w:tr>
        <w:trPr>
          <w:trHeight w:val="155"/>
        </w:trPr>
        <w:tc>
          <w:tcPr>
            <w:tcW w:w="2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Vested and expected to vest as of</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5"/>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2025</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88,622,754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6.76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20,325</w:t>
            </w:r>
          </w:p>
        </w:tc>
      </w:tr>
      <w:tr>
        <w:trPr>
          <w:trHeight w:val="200"/>
        </w:trPr>
        <w:tc>
          <w:tcPr>
            <w:tcW w:w="2300" w:type="dxa"/>
            <w:vAlign w:val="bottom"/>
          </w:tcPr>
          <w:p>
            <w:pPr>
              <w:spacing w:after="0"/>
              <w:rPr>
                <w:sz w:val="20"/>
                <w:szCs w:val="20"/>
                <w:color w:val="auto"/>
              </w:rPr>
            </w:pPr>
            <w:r>
              <w:rPr>
                <w:rFonts w:ascii="Arial" w:cs="Arial" w:eastAsia="Arial" w:hAnsi="Arial"/>
                <w:sz w:val="14"/>
                <w:szCs w:val="14"/>
                <w:color w:val="auto"/>
              </w:rPr>
              <w:t>Exercisable at December 31, 2025</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45"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Options granted to employees are accounted for as equity awards and measured at their grant date fair values. Share-based compensation expenses related to options granted to the Company’s employees under both the Predecessor’s Plan and the 2023 Plan granted are attributed to the Company and will be recognized as the service and performance based vesting conditions are achieved or become probable of being achieved. As the IPO condition constituted a performance condition that was not considered probable until completion, the Company did not recognize any compensation expenses for options granted to its employees under either plan during the periods presented. The Company’s share options granted to the Predecessor’s employees were accounted for as deemed dividend from the Company to its shareholders, as these employees provided service solely to the Predecessor. The total fair value of the grants to the Predecessor’s employees was RMB70,092 (US$10,023). The Company will record the cumulative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5" w:name="page346"/>
    <w:bookmarkEnd w:id="345"/>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14. SHARE-BASED COMPENSATION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unrecognized deemed dividend when the IPO performance condition becomes probable and recognize the remaining deemed dividend for unvested awards as the Predecessors’ employees fulfill the service condition.</w:t>
      </w:r>
    </w:p>
    <w:p>
      <w:pPr>
        <w:spacing w:after="0" w:line="76"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The aggregate intrinsic value of share options outstanding and exercisable represents the difference between the fair value of the underlying ordinary share (US$0.54 and US$0.58 per share as of December 31, 2024 and 2025, respectively) and the options’ respective exercise price. The total intrinsic value of options exercised for the years ended December 31, 2023, 2024 and 2025 were nil as no options were exercised.</w:t>
      </w:r>
    </w:p>
    <w:p>
      <w:pPr>
        <w:spacing w:after="0" w:line="74"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As of December 31, 2025, the unrecognized share-based compensation expenses attributed to the Company from both the Predecessor’s Plan and the 2023 Plan were RMB197,052 (US$28,178). The total unrecognized compensation cost may be adjusted for actual forfeitures occurring in the future.</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Fair value of employee share options</w:t>
      </w:r>
    </w:p>
    <w:p>
      <w:pPr>
        <w:spacing w:after="0" w:line="107" w:lineRule="exact"/>
        <w:rPr>
          <w:sz w:val="20"/>
          <w:szCs w:val="20"/>
          <w:color w:val="auto"/>
        </w:rPr>
      </w:pPr>
    </w:p>
    <w:p>
      <w:pPr>
        <w:jc w:val="both"/>
        <w:ind w:left="1420" w:right="1398" w:firstLine="249"/>
        <w:spacing w:after="0" w:line="236" w:lineRule="auto"/>
        <w:rPr>
          <w:sz w:val="20"/>
          <w:szCs w:val="20"/>
          <w:color w:val="auto"/>
        </w:rPr>
      </w:pPr>
      <w:r>
        <w:rPr>
          <w:rFonts w:ascii="Arial" w:cs="Arial" w:eastAsia="Arial" w:hAnsi="Arial"/>
          <w:sz w:val="14"/>
          <w:szCs w:val="14"/>
          <w:color w:val="auto"/>
        </w:rPr>
        <w:t>The fair value of share options was determined using the binomial option valuation model, with the assistance from an independent third-party valuation firm. The binomial model requires the input of highly subjective assumptions, including the expected share price volatility and exercise multiple. For expected volatilities, the Company has made reference to historical volatilities of several comparable companies. The exercise multiple is estimated based on the changes in intrinsic value of the options and the likelihood of early exercises by employees.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estimated fair value of the ordinary shares, at the option grant dates, was determined with the assistance of an independent third-party valuation firm.</w:t>
      </w:r>
    </w:p>
    <w:p>
      <w:pPr>
        <w:spacing w:after="0" w:line="8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assumptions used to estimate the fair value of the share options granted to employees were as follows: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1"/>
                <w:szCs w:val="11"/>
                <w:b w:val="1"/>
                <w:bCs w:val="1"/>
                <w:color w:val="auto"/>
              </w:rPr>
              <w:t>2025</w:t>
            </w:r>
          </w:p>
        </w:tc>
      </w:tr>
      <w:tr>
        <w:trPr>
          <w:trHeight w:val="214"/>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4.5</w:t>
            </w: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Expected volatility (%)</w:t>
            </w:r>
          </w:p>
        </w:tc>
        <w:tc>
          <w:tcPr>
            <w:tcW w:w="360" w:type="dxa"/>
            <w:vAlign w:val="bottom"/>
          </w:tcPr>
          <w:p>
            <w:pPr>
              <w:jc w:val="right"/>
              <w:spacing w:after="0"/>
              <w:rPr>
                <w:sz w:val="20"/>
                <w:szCs w:val="20"/>
                <w:color w:val="auto"/>
              </w:rPr>
            </w:pPr>
            <w:r>
              <w:rPr>
                <w:rFonts w:ascii="Arial" w:cs="Arial" w:eastAsia="Arial" w:hAnsi="Arial"/>
                <w:sz w:val="14"/>
                <w:szCs w:val="14"/>
                <w:color w:val="auto"/>
              </w:rPr>
              <w:t>41.9</w:t>
            </w:r>
          </w:p>
        </w:tc>
        <w:tc>
          <w:tcPr>
            <w:tcW w:w="500" w:type="dxa"/>
            <w:vAlign w:val="bottom"/>
          </w:tcPr>
          <w:p>
            <w:pPr>
              <w:ind w:left="40"/>
              <w:spacing w:after="0"/>
              <w:rPr>
                <w:sz w:val="20"/>
                <w:szCs w:val="20"/>
                <w:color w:val="auto"/>
              </w:rPr>
            </w:pPr>
            <w:r>
              <w:rPr>
                <w:rFonts w:ascii="Arial" w:cs="Arial" w:eastAsia="Arial" w:hAnsi="Arial"/>
                <w:sz w:val="14"/>
                <w:szCs w:val="14"/>
                <w:color w:val="auto"/>
              </w:rPr>
              <w:t>– 42.6</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42.4</w:t>
            </w:r>
          </w:p>
        </w:tc>
        <w:tc>
          <w:tcPr>
            <w:tcW w:w="480" w:type="dxa"/>
            <w:vAlign w:val="bottom"/>
          </w:tcPr>
          <w:p>
            <w:pPr>
              <w:ind w:left="20"/>
              <w:spacing w:after="0"/>
              <w:rPr>
                <w:sz w:val="20"/>
                <w:szCs w:val="20"/>
                <w:color w:val="auto"/>
              </w:rPr>
            </w:pPr>
            <w:r>
              <w:rPr>
                <w:rFonts w:ascii="Arial" w:cs="Arial" w:eastAsia="Arial" w:hAnsi="Arial"/>
                <w:sz w:val="14"/>
                <w:szCs w:val="14"/>
                <w:color w:val="auto"/>
              </w:rPr>
              <w:t>– 43.1</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43.1</w:t>
            </w:r>
          </w:p>
        </w:tc>
        <w:tc>
          <w:tcPr>
            <w:tcW w:w="540" w:type="dxa"/>
            <w:vAlign w:val="bottom"/>
          </w:tcPr>
          <w:p>
            <w:pPr>
              <w:ind w:left="40"/>
              <w:spacing w:after="0"/>
              <w:rPr>
                <w:sz w:val="20"/>
                <w:szCs w:val="20"/>
                <w:color w:val="auto"/>
              </w:rPr>
            </w:pPr>
            <w:r>
              <w:rPr>
                <w:rFonts w:ascii="Arial" w:cs="Arial" w:eastAsia="Arial" w:hAnsi="Arial"/>
                <w:sz w:val="14"/>
                <w:szCs w:val="14"/>
                <w:color w:val="auto"/>
              </w:rPr>
              <w:t>– 45.5</w:t>
            </w: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Expected dividend yield (%)</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right="271"/>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right="331"/>
              <w:spacing w:after="0"/>
              <w:rPr>
                <w:sz w:val="20"/>
                <w:szCs w:val="20"/>
                <w:color w:val="auto"/>
              </w:rPr>
            </w:pPr>
            <w:r>
              <w:rPr>
                <w:rFonts w:ascii="Arial" w:cs="Arial" w:eastAsia="Arial" w:hAnsi="Arial"/>
                <w:sz w:val="14"/>
                <w:szCs w:val="14"/>
                <w:color w:val="auto"/>
                <w:w w:val="99"/>
              </w:rPr>
              <w:t>—</w:t>
            </w:r>
          </w:p>
        </w:tc>
      </w:tr>
      <w:tr>
        <w:trPr>
          <w:trHeight w:val="209"/>
        </w:trPr>
        <w:tc>
          <w:tcPr>
            <w:tcW w:w="3420" w:type="dxa"/>
            <w:vAlign w:val="bottom"/>
          </w:tcPr>
          <w:p>
            <w:pPr>
              <w:spacing w:after="0"/>
              <w:rPr>
                <w:sz w:val="20"/>
                <w:szCs w:val="20"/>
                <w:color w:val="auto"/>
              </w:rPr>
            </w:pPr>
            <w:r>
              <w:rPr>
                <w:rFonts w:ascii="Arial" w:cs="Arial" w:eastAsia="Arial" w:hAnsi="Arial"/>
                <w:sz w:val="14"/>
                <w:szCs w:val="14"/>
                <w:color w:val="auto"/>
              </w:rPr>
              <w:t>Exercise multiple</w:t>
            </w: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500" w:type="dxa"/>
            <w:vAlign w:val="bottom"/>
          </w:tcPr>
          <w:p>
            <w:pPr>
              <w:ind w:left="40"/>
              <w:spacing w:after="0"/>
              <w:rPr>
                <w:sz w:val="20"/>
                <w:szCs w:val="20"/>
                <w:color w:val="auto"/>
              </w:rPr>
            </w:pPr>
            <w:r>
              <w:rPr>
                <w:rFonts w:ascii="Arial" w:cs="Arial" w:eastAsia="Arial" w:hAnsi="Arial"/>
                <w:sz w:val="14"/>
                <w:szCs w:val="14"/>
                <w:color w:val="auto"/>
              </w:rPr>
              <w:t>– 2.8</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480" w:type="dxa"/>
            <w:vAlign w:val="bottom"/>
          </w:tcPr>
          <w:p>
            <w:pPr>
              <w:ind w:left="20"/>
              <w:spacing w:after="0"/>
              <w:rPr>
                <w:sz w:val="20"/>
                <w:szCs w:val="20"/>
                <w:color w:val="auto"/>
              </w:rPr>
            </w:pPr>
            <w:r>
              <w:rPr>
                <w:rFonts w:ascii="Arial" w:cs="Arial" w:eastAsia="Arial" w:hAnsi="Arial"/>
                <w:sz w:val="14"/>
                <w:szCs w:val="14"/>
                <w:color w:val="auto"/>
              </w:rPr>
              <w:t>– 2.8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540" w:type="dxa"/>
            <w:vAlign w:val="bottom"/>
          </w:tcPr>
          <w:p>
            <w:pPr>
              <w:ind w:left="40"/>
              <w:spacing w:after="0"/>
              <w:rPr>
                <w:sz w:val="20"/>
                <w:szCs w:val="20"/>
                <w:color w:val="auto"/>
              </w:rPr>
            </w:pPr>
            <w:r>
              <w:rPr>
                <w:rFonts w:ascii="Arial" w:cs="Arial" w:eastAsia="Arial" w:hAnsi="Arial"/>
                <w:sz w:val="14"/>
                <w:szCs w:val="14"/>
                <w:color w:val="auto"/>
              </w:rPr>
              <w:t>– 2.8</w:t>
            </w:r>
          </w:p>
        </w:tc>
      </w:tr>
      <w:tr>
        <w:trPr>
          <w:trHeight w:val="227"/>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Fair value of an underlying Ordinary Share (US$)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0.64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0.58</w:t>
            </w:r>
          </w:p>
        </w:tc>
      </w:tr>
      <w:tr>
        <w:trPr>
          <w:trHeight w:val="200"/>
        </w:trPr>
        <w:tc>
          <w:tcPr>
            <w:tcW w:w="3420" w:type="dxa"/>
            <w:vAlign w:val="bottom"/>
          </w:tcPr>
          <w:p>
            <w:pPr>
              <w:spacing w:after="0"/>
              <w:rPr>
                <w:sz w:val="20"/>
                <w:szCs w:val="20"/>
                <w:color w:val="auto"/>
              </w:rPr>
            </w:pPr>
            <w:r>
              <w:rPr>
                <w:rFonts w:ascii="Arial" w:cs="Arial" w:eastAsia="Arial" w:hAnsi="Arial"/>
                <w:sz w:val="14"/>
                <w:szCs w:val="14"/>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4"/>
                <w:szCs w:val="14"/>
                <w:color w:val="auto"/>
              </w:rPr>
              <w:t>8.75</w:t>
            </w:r>
          </w:p>
        </w:tc>
        <w:tc>
          <w:tcPr>
            <w:tcW w:w="500" w:type="dxa"/>
            <w:vAlign w:val="bottom"/>
          </w:tcPr>
          <w:p>
            <w:pPr>
              <w:ind w:left="40"/>
              <w:spacing w:after="0"/>
              <w:rPr>
                <w:sz w:val="20"/>
                <w:szCs w:val="20"/>
                <w:color w:val="auto"/>
              </w:rPr>
            </w:pPr>
            <w:r>
              <w:rPr>
                <w:rFonts w:ascii="Arial" w:cs="Arial" w:eastAsia="Arial" w:hAnsi="Arial"/>
                <w:sz w:val="14"/>
                <w:szCs w:val="14"/>
                <w:color w:val="auto"/>
              </w:rPr>
              <w:t>– 9.34</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7.75</w:t>
            </w:r>
          </w:p>
        </w:tc>
        <w:tc>
          <w:tcPr>
            <w:tcW w:w="480" w:type="dxa"/>
            <w:vAlign w:val="bottom"/>
          </w:tcPr>
          <w:p>
            <w:pPr>
              <w:ind w:left="20"/>
              <w:spacing w:after="0"/>
              <w:rPr>
                <w:sz w:val="20"/>
                <w:szCs w:val="20"/>
                <w:color w:val="auto"/>
              </w:rPr>
            </w:pPr>
            <w:r>
              <w:rPr>
                <w:rFonts w:ascii="Arial" w:cs="Arial" w:eastAsia="Arial" w:hAnsi="Arial"/>
                <w:sz w:val="14"/>
                <w:szCs w:val="14"/>
                <w:color w:val="auto"/>
              </w:rPr>
              <w:t>– 8.25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6.80</w:t>
            </w:r>
          </w:p>
        </w:tc>
        <w:tc>
          <w:tcPr>
            <w:tcW w:w="540" w:type="dxa"/>
            <w:vAlign w:val="bottom"/>
          </w:tcPr>
          <w:p>
            <w:pPr>
              <w:ind w:left="40"/>
              <w:spacing w:after="0"/>
              <w:rPr>
                <w:sz w:val="20"/>
                <w:szCs w:val="20"/>
                <w:color w:val="auto"/>
              </w:rPr>
            </w:pPr>
            <w:r>
              <w:rPr>
                <w:rFonts w:ascii="Arial" w:cs="Arial" w:eastAsia="Arial" w:hAnsi="Arial"/>
                <w:sz w:val="14"/>
                <w:szCs w:val="14"/>
                <w:color w:val="auto"/>
              </w:rPr>
              <w:t>– 7.75</w:t>
            </w:r>
          </w:p>
        </w:tc>
      </w:tr>
    </w:tbl>
    <w:p>
      <w:pPr>
        <w:spacing w:after="0" w:line="16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15. COMMITMENTS AND CONTINGENCIES</w:t>
      </w:r>
    </w:p>
    <w:p>
      <w:pPr>
        <w:spacing w:after="0" w:line="163"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Contingencies</w:t>
      </w:r>
    </w:p>
    <w:p>
      <w:pPr>
        <w:spacing w:after="0" w:line="107"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In the normal course of business, the Group is subject to contingencies, such as legal proceedings and claims arising out of its business, which are mainly related to the Group’s non-execution of certain contracts signed with customers. Liabilities for contingencies are recorded when it is probable that a liability has been incurred and the amount of the assessment can be reasonably estimated. If the assessment indicates that a potential loss contingency is not probable, but is reasonably possible, or is probable but cannot be estimated, then the nature of the contingent liability, together with an</w:t>
      </w:r>
    </w:p>
    <w:p>
      <w:pPr>
        <w:spacing w:after="0" w:line="107"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6" w:name="page347"/>
    <w:bookmarkEnd w:id="346"/>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15. COMMITMENTS AND CONTINGENCIES (cont.)</w:t>
      </w:r>
    </w:p>
    <w:p>
      <w:pPr>
        <w:spacing w:after="0" w:line="130" w:lineRule="exact"/>
        <w:rPr>
          <w:sz w:val="20"/>
          <w:szCs w:val="20"/>
          <w:color w:val="auto"/>
        </w:rPr>
      </w:pPr>
    </w:p>
    <w:p>
      <w:pPr>
        <w:jc w:val="both"/>
        <w:ind w:left="1420" w:right="1398"/>
        <w:spacing w:after="0" w:line="251" w:lineRule="auto"/>
        <w:rPr>
          <w:sz w:val="20"/>
          <w:szCs w:val="20"/>
          <w:color w:val="auto"/>
        </w:rPr>
      </w:pPr>
      <w:r>
        <w:rPr>
          <w:rFonts w:ascii="Arial" w:cs="Arial" w:eastAsia="Arial" w:hAnsi="Arial"/>
          <w:sz w:val="14"/>
          <w:szCs w:val="14"/>
          <w:color w:val="auto"/>
        </w:rPr>
        <w:t>estimate of the range of possible loss, if determinable and material, would be disclosed. The Group accrued contingent liabilities of RMB692 and RMB2,100 (US$300) in the consolidated balance sheets as of December 31, 2024 and 2025, respectively.</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Capital commitment</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Group did not have any material commitments for fixed asset purchases as of December 31, 2025.</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16. INCOME TAX</w:t>
      </w:r>
    </w:p>
    <w:p>
      <w:pPr>
        <w:spacing w:after="0" w:line="163"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Cayman Islands</w:t>
      </w:r>
    </w:p>
    <w:p>
      <w:pPr>
        <w:spacing w:after="0" w:line="96" w:lineRule="exact"/>
        <w:rPr>
          <w:sz w:val="20"/>
          <w:szCs w:val="20"/>
          <w:color w:val="auto"/>
        </w:rPr>
      </w:pPr>
    </w:p>
    <w:p>
      <w:pPr>
        <w:jc w:val="both"/>
        <w:ind w:left="1420" w:right="1398" w:firstLine="249"/>
        <w:spacing w:after="0" w:line="251" w:lineRule="auto"/>
        <w:rPr>
          <w:sz w:val="20"/>
          <w:szCs w:val="20"/>
          <w:color w:val="auto"/>
        </w:rPr>
      </w:pPr>
      <w:r>
        <w:rPr>
          <w:rFonts w:ascii="Arial" w:cs="Arial" w:eastAsia="Arial" w:hAnsi="Arial"/>
          <w:sz w:val="14"/>
          <w:szCs w:val="14"/>
          <w:color w:val="auto"/>
        </w:rPr>
        <w:t>Under the current laws of the Cayman Islands, the Company is not subject to tax on income or capital gains arising in the Cayman Islands. Additionally, upon payments of dividends by the Company to its shareholders, no Cayman Islands withholding tax will be imposed.</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British Virgin Islands (“BVI”)</w:t>
      </w:r>
    </w:p>
    <w:p>
      <w:pPr>
        <w:spacing w:after="0" w:line="10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Subsidiaries in the BVI are exempted from income tax on their foreign-derived income in the BVI. There are no withholding taxes in the BVI.</w:t>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Hong Kong</w:t>
      </w:r>
    </w:p>
    <w:p>
      <w:pPr>
        <w:spacing w:after="0" w:line="10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subsidiary incorporated in Hong Kong is subject to income tax at the rate of 16.5% on the estimated assessable profits arising in Hong Kong. For the years ended December 31, 2023, 2024 and 2025, the Group did not make any provisions for Hong Kong profit tax as there were no assessable profits derived from or earned in Hong Kong for any of the periods presented.</w:t>
      </w:r>
    </w:p>
    <w:p>
      <w:pPr>
        <w:spacing w:after="0" w:line="133" w:lineRule="exact"/>
        <w:rPr>
          <w:sz w:val="20"/>
          <w:szCs w:val="20"/>
          <w:color w:val="auto"/>
        </w:rPr>
      </w:pPr>
    </w:p>
    <w:p>
      <w:pPr>
        <w:ind w:left="1420"/>
        <w:spacing w:after="0"/>
        <w:rPr>
          <w:sz w:val="20"/>
          <w:szCs w:val="20"/>
          <w:color w:val="auto"/>
        </w:rPr>
      </w:pPr>
      <w:r>
        <w:rPr>
          <w:rFonts w:ascii="Arial" w:cs="Arial" w:eastAsia="Arial" w:hAnsi="Arial"/>
          <w:sz w:val="14"/>
          <w:szCs w:val="14"/>
          <w:b w:val="1"/>
          <w:bCs w:val="1"/>
          <w:i w:val="1"/>
          <w:iCs w:val="1"/>
          <w:u w:val="single" w:color="auto"/>
          <w:color w:val="auto"/>
        </w:rPr>
        <w:t>The PRC</w:t>
      </w:r>
    </w:p>
    <w:p>
      <w:pPr>
        <w:spacing w:after="0" w:line="96"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current enterprise income tax law (“EIT Law”) applies a uniform 25% EIT rate to both foreign invested enterprises and domestic enterprises, except for domestic enterprises qualified as small and micro enterprises (“MSME”) and High and New Technology Enterprise (“HNTE”). If the entity qualified as a MSME, then its taxable income will be taxed at 20% subject to certain taxable income exemptions. In accordance with the PRC Income Tax Law, an enterprise awarded with the HNTE certificate may enjoy a reduced EIT rate of 15% subject to a requirement that they re-apply for HNTE status every three years.</w:t>
      </w:r>
    </w:p>
    <w:p>
      <w:pPr>
        <w:spacing w:after="0" w:line="8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components of loss before income taxes are as follows: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1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98"/>
        </w:trPr>
        <w:tc>
          <w:tcPr>
            <w:tcW w:w="1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7"/>
                <w:szCs w:val="17"/>
                <w:color w:val="auto"/>
              </w:rPr>
            </w:pPr>
          </w:p>
        </w:tc>
      </w:tr>
      <w:tr>
        <w:trPr>
          <w:trHeight w:val="208"/>
        </w:trPr>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980" w:type="dxa"/>
            <w:vAlign w:val="bottom"/>
            <w:gridSpan w:val="4"/>
          </w:tcPr>
          <w:p>
            <w:pPr>
              <w:ind w:left="240"/>
              <w:spacing w:after="0"/>
              <w:rPr>
                <w:sz w:val="20"/>
                <w:szCs w:val="20"/>
                <w:color w:val="auto"/>
              </w:rPr>
            </w:pPr>
            <w:r>
              <w:rPr>
                <w:rFonts w:ascii="Arial" w:cs="Arial" w:eastAsia="Arial" w:hAnsi="Arial"/>
                <w:sz w:val="11"/>
                <w:szCs w:val="11"/>
                <w:b w:val="1"/>
                <w:bCs w:val="1"/>
                <w:color w:val="auto"/>
              </w:rPr>
              <w:t>RMB</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r>
      <w:tr>
        <w:trPr>
          <w:trHeight w:val="224"/>
        </w:trPr>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PRC</w:t>
            </w: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(191,934)</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(157,749)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(95,468)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(13,652)</w:t>
            </w:r>
          </w:p>
        </w:tc>
      </w:tr>
      <w:tr>
        <w:trPr>
          <w:trHeight w:val="204"/>
        </w:trPr>
        <w:tc>
          <w:tcPr>
            <w:tcW w:w="1780" w:type="dxa"/>
            <w:vAlign w:val="bottom"/>
          </w:tcPr>
          <w:p>
            <w:pPr>
              <w:spacing w:after="0"/>
              <w:rPr>
                <w:sz w:val="20"/>
                <w:szCs w:val="20"/>
                <w:color w:val="auto"/>
              </w:rPr>
            </w:pPr>
            <w:r>
              <w:rPr>
                <w:rFonts w:ascii="Arial" w:cs="Arial" w:eastAsia="Arial" w:hAnsi="Arial"/>
                <w:sz w:val="14"/>
                <w:szCs w:val="14"/>
                <w:color w:val="auto"/>
              </w:rPr>
              <w:t>Non-PRC</w:t>
            </w:r>
          </w:p>
        </w:tc>
        <w:tc>
          <w:tcPr>
            <w:tcW w:w="1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2,608</w:t>
            </w: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(1,105)</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r>
      <w:tr>
        <w:trPr>
          <w:trHeight w:val="20"/>
        </w:trPr>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1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(189,326)</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(158,854)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(94,852)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(13,564)</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72"/>
        </w:trPr>
        <w:tc>
          <w:tcPr>
            <w:tcW w:w="17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F-49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bl>
    <w:p>
      <w:pPr>
        <w:sectPr>
          <w:pgSz w:w="11920" w:h="16838" w:orient="portrait"/>
          <w:cols w:equalWidth="0" w:num="1">
            <w:col w:w="9038"/>
          </w:cols>
          <w:pgMar w:left="1440" w:top="230" w:right="1440" w:bottom="1440" w:gutter="0" w:footer="0" w:header="0"/>
        </w:sectPr>
      </w:pPr>
    </w:p>
    <w:bookmarkStart w:id="347" w:name="page348"/>
    <w:bookmarkEnd w:id="347"/>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16. INCOME TAX (cont.)</w:t>
      </w:r>
    </w:p>
    <w:p>
      <w:pPr>
        <w:spacing w:after="0" w:line="130"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current and deferred components of income tax expense appearing in the combined and consolidated statements of comprehensive loss are as follows:</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620" w:type="dxa"/>
            <w:vAlign w:val="bottom"/>
            <w:tcBorders>
              <w:bottom w:val="single" w:sz="8" w:color="auto"/>
            </w:tcBorders>
          </w:tcPr>
          <w:p>
            <w:pPr>
              <w:spacing w:after="0"/>
              <w:rPr>
                <w:sz w:val="13"/>
                <w:szCs w:val="13"/>
                <w:color w:val="auto"/>
              </w:rPr>
            </w:pPr>
          </w:p>
        </w:tc>
      </w:tr>
      <w:tr>
        <w:trPr>
          <w:trHeight w:val="198"/>
        </w:trPr>
        <w:tc>
          <w:tcPr>
            <w:tcW w:w="2980" w:type="dxa"/>
            <w:vAlign w:val="bottom"/>
          </w:tcPr>
          <w:p>
            <w:pPr>
              <w:spacing w:after="0"/>
              <w:rPr>
                <w:sz w:val="17"/>
                <w:szCs w:val="17"/>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2025</w:t>
            </w:r>
          </w:p>
        </w:tc>
      </w:tr>
      <w:tr>
        <w:trPr>
          <w:trHeight w:val="208"/>
        </w:trPr>
        <w:tc>
          <w:tcPr>
            <w:tcW w:w="29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1000" w:type="dxa"/>
            <w:vAlign w:val="bottom"/>
            <w:gridSpan w:val="3"/>
          </w:tcPr>
          <w:p>
            <w:pPr>
              <w:ind w:left="240"/>
              <w:spacing w:after="0"/>
              <w:rPr>
                <w:sz w:val="20"/>
                <w:szCs w:val="20"/>
                <w:color w:val="auto"/>
              </w:rPr>
            </w:pPr>
            <w:r>
              <w:rPr>
                <w:rFonts w:ascii="Arial" w:cs="Arial" w:eastAsia="Arial" w:hAnsi="Arial"/>
                <w:sz w:val="11"/>
                <w:szCs w:val="11"/>
                <w:b w:val="1"/>
                <w:bCs w:val="1"/>
                <w:color w:val="auto"/>
              </w:rPr>
              <w:t>RMB</w:t>
            </w:r>
          </w:p>
        </w:tc>
        <w:tc>
          <w:tcPr>
            <w:tcW w:w="620" w:type="dxa"/>
            <w:vAlign w:val="bottom"/>
          </w:tcPr>
          <w:p>
            <w:pPr>
              <w:jc w:val="right"/>
              <w:ind w:right="236"/>
              <w:spacing w:after="0"/>
              <w:rPr>
                <w:sz w:val="20"/>
                <w:szCs w:val="20"/>
                <w:color w:val="auto"/>
              </w:rPr>
            </w:pPr>
            <w:r>
              <w:rPr>
                <w:rFonts w:ascii="Arial" w:cs="Arial" w:eastAsia="Arial" w:hAnsi="Arial"/>
                <w:sz w:val="11"/>
                <w:szCs w:val="11"/>
                <w:b w:val="1"/>
                <w:bCs w:val="1"/>
                <w:color w:val="auto"/>
              </w:rPr>
              <w:t>US$</w:t>
            </w: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Current income tax</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8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204"/>
        </w:trPr>
        <w:tc>
          <w:tcPr>
            <w:tcW w:w="2980" w:type="dxa"/>
            <w:vAlign w:val="bottom"/>
          </w:tcPr>
          <w:p>
            <w:pPr>
              <w:spacing w:after="0"/>
              <w:rPr>
                <w:sz w:val="20"/>
                <w:szCs w:val="20"/>
                <w:color w:val="auto"/>
              </w:rPr>
            </w:pPr>
            <w:r>
              <w:rPr>
                <w:rFonts w:ascii="Arial" w:cs="Arial" w:eastAsia="Arial" w:hAnsi="Arial"/>
                <w:sz w:val="14"/>
                <w:szCs w:val="14"/>
                <w:color w:val="auto"/>
              </w:rPr>
              <w:t>Deferred income tax</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(2,787)</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1"/>
        </w:trPr>
        <w:tc>
          <w:tcPr>
            <w:tcW w:w="2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r>
    </w:tbl>
    <w:p>
      <w:pPr>
        <w:spacing w:after="0" w:line="127"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reconciliation of tax computed by applying the PRC statutory income tax rate of 25% for the year ended December 31, 2025 to income tax expenses are as follows: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28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1"/>
                <w:szCs w:val="11"/>
                <w:b w:val="1"/>
                <w:bCs w:val="1"/>
                <w:color w:val="auto"/>
              </w:rPr>
              <w:t>For the years ended December 31,</w:t>
            </w:r>
          </w:p>
        </w:tc>
      </w:tr>
      <w:tr>
        <w:trPr>
          <w:trHeight w:val="208"/>
        </w:trPr>
        <w:tc>
          <w:tcPr>
            <w:tcW w:w="3380" w:type="dxa"/>
            <w:vAlign w:val="bottom"/>
          </w:tcPr>
          <w:p>
            <w:pPr>
              <w:spacing w:after="0"/>
              <w:rPr>
                <w:sz w:val="18"/>
                <w:szCs w:val="18"/>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Percent</w:t>
            </w:r>
          </w:p>
        </w:tc>
      </w:tr>
      <w:tr>
        <w:trPr>
          <w:trHeight w:val="198"/>
        </w:trPr>
        <w:tc>
          <w:tcPr>
            <w:tcW w:w="33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US$</w:t>
            </w:r>
          </w:p>
        </w:tc>
        <w:tc>
          <w:tcPr>
            <w:tcW w:w="880" w:type="dxa"/>
            <w:vAlign w:val="bottom"/>
            <w:gridSpan w:val="2"/>
          </w:tcPr>
          <w:p>
            <w:pPr>
              <w:jc w:val="right"/>
              <w:ind w:right="194"/>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7"/>
                <w:szCs w:val="17"/>
                <w:color w:val="auto"/>
              </w:rPr>
            </w:pPr>
          </w:p>
        </w:tc>
      </w:tr>
      <w:tr>
        <w:trPr>
          <w:trHeight w:val="22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at PRC statutory rate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(3,391)</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25.0%</w:t>
            </w:r>
          </w:p>
        </w:tc>
      </w:tr>
      <w:tr>
        <w:trPr>
          <w:trHeight w:val="209"/>
        </w:trPr>
        <w:tc>
          <w:tcPr>
            <w:tcW w:w="3380" w:type="dxa"/>
            <w:vAlign w:val="bottom"/>
          </w:tcPr>
          <w:p>
            <w:pPr>
              <w:spacing w:after="0"/>
              <w:rPr>
                <w:sz w:val="20"/>
                <w:szCs w:val="20"/>
                <w:color w:val="auto"/>
              </w:rPr>
            </w:pPr>
            <w:r>
              <w:rPr>
                <w:rFonts w:ascii="Arial" w:cs="Arial" w:eastAsia="Arial" w:hAnsi="Arial"/>
                <w:sz w:val="14"/>
                <w:szCs w:val="14"/>
                <w:color w:val="auto"/>
              </w:rPr>
              <w:t>Foreign Tax Effects</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7"/>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28,538</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209"/>
        </w:trPr>
        <w:tc>
          <w:tcPr>
            <w:tcW w:w="3380" w:type="dxa"/>
            <w:vAlign w:val="bottom"/>
          </w:tcPr>
          <w:p>
            <w:pPr>
              <w:spacing w:after="0"/>
              <w:rPr>
                <w:sz w:val="20"/>
                <w:szCs w:val="20"/>
                <w:color w:val="auto"/>
              </w:rPr>
            </w:pPr>
            <w:r>
              <w:rPr>
                <w:rFonts w:ascii="Arial" w:cs="Arial" w:eastAsia="Arial" w:hAnsi="Arial"/>
                <w:sz w:val="14"/>
                <w:szCs w:val="14"/>
                <w:color w:val="auto"/>
              </w:rPr>
              <w:t>Non-taxable income</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(352)</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(50)</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0.4%</w:t>
            </w:r>
          </w:p>
        </w:tc>
      </w:tr>
      <w:tr>
        <w:trPr>
          <w:trHeight w:val="227"/>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Deferred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9"/>
        </w:trPr>
        <w:tc>
          <w:tcPr>
            <w:tcW w:w="3380" w:type="dxa"/>
            <w:vAlign w:val="bottom"/>
          </w:tcPr>
          <w:p>
            <w:pPr>
              <w:spacing w:after="0"/>
              <w:rPr>
                <w:sz w:val="20"/>
                <w:szCs w:val="20"/>
                <w:color w:val="auto"/>
              </w:rPr>
            </w:pPr>
            <w:r>
              <w:rPr>
                <w:rFonts w:ascii="Arial" w:cs="Arial" w:eastAsia="Arial" w:hAnsi="Arial"/>
                <w:sz w:val="14"/>
                <w:szCs w:val="14"/>
                <w:color w:val="auto"/>
              </w:rPr>
              <w:t>Non-deductible expenses-others</w:t>
            </w:r>
          </w:p>
        </w:tc>
        <w:tc>
          <w:tcPr>
            <w:tcW w:w="76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(0.7)%</w:t>
            </w:r>
          </w:p>
        </w:tc>
      </w:tr>
      <w:tr>
        <w:trPr>
          <w:trHeight w:val="227"/>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Other adjustments: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4"/>
                <w:szCs w:val="14"/>
                <w:color w:val="auto"/>
              </w:rPr>
              <w:t>Effect of PRC preferential tax rates</w:t>
            </w:r>
          </w:p>
        </w:tc>
        <w:tc>
          <w:tcPr>
            <w:tcW w:w="760" w:type="dxa"/>
            <w:vAlign w:val="bottom"/>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(3.3)%</w:t>
            </w:r>
          </w:p>
        </w:tc>
      </w:tr>
      <w:tr>
        <w:trPr>
          <w:trHeight w:val="227"/>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 super-deduction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(21,626)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(3,093)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22.8%</w:t>
            </w:r>
          </w:p>
        </w:tc>
      </w:tr>
      <w:tr>
        <w:trPr>
          <w:trHeight w:val="209"/>
        </w:trPr>
        <w:tc>
          <w:tcPr>
            <w:tcW w:w="3380" w:type="dxa"/>
            <w:vAlign w:val="bottom"/>
          </w:tcPr>
          <w:p>
            <w:pPr>
              <w:spacing w:after="0"/>
              <w:rPr>
                <w:sz w:val="20"/>
                <w:szCs w:val="20"/>
                <w:color w:val="auto"/>
              </w:rPr>
            </w:pPr>
            <w:r>
              <w:rPr>
                <w:rFonts w:ascii="Arial" w:cs="Arial" w:eastAsia="Arial" w:hAnsi="Arial"/>
                <w:sz w:val="14"/>
                <w:szCs w:val="14"/>
                <w:color w:val="auto"/>
              </w:rPr>
              <w:t>Provision to return</w:t>
            </w:r>
          </w:p>
        </w:tc>
        <w:tc>
          <w:tcPr>
            <w:tcW w:w="76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(1.6)%</w:t>
            </w: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Other adjustments-DTA write-off</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0"/>
        </w:trPr>
        <w:tc>
          <w:tcPr>
            <w:tcW w:w="3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4"/>
                <w:szCs w:val="14"/>
                <w:color w:val="auto"/>
              </w:rPr>
              <w:t>Income tax expense</w:t>
            </w:r>
          </w:p>
        </w:tc>
        <w:tc>
          <w:tcPr>
            <w:tcW w:w="760" w:type="dxa"/>
            <w:vAlign w:val="bottom"/>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3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reconciliation of tax computed by applying the PRC statutory income tax rate of 25% for the years ended December 31, 2023 and 2024 to income tax expenses are as follows:</w:t>
      </w:r>
    </w:p>
    <w:p>
      <w:pPr>
        <w:spacing w:after="0" w:line="99" w:lineRule="exact"/>
        <w:rPr>
          <w:sz w:val="20"/>
          <w:szCs w:val="20"/>
          <w:color w:val="auto"/>
        </w:rPr>
      </w:pPr>
    </w:p>
    <w:tbl>
      <w:tblPr>
        <w:tblLayout w:type="fixed"/>
        <w:tblInd w:w="142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auto"/>
              </w:rPr>
              <w:t>For the years ended</w:t>
            </w:r>
          </w:p>
        </w:tc>
      </w:tr>
      <w:tr>
        <w:trPr>
          <w:trHeight w:val="160"/>
        </w:trPr>
        <w:tc>
          <w:tcPr>
            <w:tcW w:w="4300" w:type="dxa"/>
            <w:vAlign w:val="bottom"/>
          </w:tcPr>
          <w:p>
            <w:pPr>
              <w:spacing w:after="0"/>
              <w:rPr>
                <w:sz w:val="13"/>
                <w:szCs w:val="13"/>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1"/>
                <w:szCs w:val="11"/>
                <w:b w:val="1"/>
                <w:bCs w:val="1"/>
                <w:color w:val="auto"/>
              </w:rPr>
              <w:t>December 31,</w:t>
            </w:r>
          </w:p>
        </w:tc>
      </w:tr>
      <w:tr>
        <w:trPr>
          <w:trHeight w:val="198"/>
        </w:trPr>
        <w:tc>
          <w:tcPr>
            <w:tcW w:w="430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7"/>
                <w:szCs w:val="17"/>
                <w:color w:val="auto"/>
              </w:rPr>
            </w:pPr>
          </w:p>
        </w:tc>
        <w:tc>
          <w:tcPr>
            <w:tcW w:w="940" w:type="dxa"/>
            <w:vAlign w:val="bottom"/>
            <w:gridSpan w:val="2"/>
          </w:tcPr>
          <w:p>
            <w:pPr>
              <w:jc w:val="right"/>
              <w:ind w:right="198"/>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7"/>
                <w:szCs w:val="17"/>
                <w:color w:val="auto"/>
              </w:rPr>
            </w:pPr>
          </w:p>
        </w:tc>
      </w:tr>
      <w:tr>
        <w:trPr>
          <w:trHeight w:val="208"/>
        </w:trPr>
        <w:tc>
          <w:tcPr>
            <w:tcW w:w="430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rPr>
              <w:t>RMB</w:t>
            </w:r>
          </w:p>
        </w:tc>
      </w:tr>
      <w:tr>
        <w:trPr>
          <w:trHeight w:val="224"/>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(189,326)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(158,854)</w:t>
            </w:r>
          </w:p>
        </w:tc>
      </w:tr>
      <w:tr>
        <w:trPr>
          <w:trHeight w:val="209"/>
        </w:trPr>
        <w:tc>
          <w:tcPr>
            <w:tcW w:w="4300" w:type="dxa"/>
            <w:vAlign w:val="bottom"/>
          </w:tcPr>
          <w:p>
            <w:pPr>
              <w:spacing w:after="0"/>
              <w:rPr>
                <w:sz w:val="20"/>
                <w:szCs w:val="20"/>
                <w:color w:val="auto"/>
              </w:rPr>
            </w:pPr>
            <w:r>
              <w:rPr>
                <w:rFonts w:ascii="Arial" w:cs="Arial" w:eastAsia="Arial" w:hAnsi="Arial"/>
                <w:sz w:val="14"/>
                <w:szCs w:val="14"/>
                <w:color w:val="auto"/>
              </w:rPr>
              <w:t>Income tax computed at the statutory tax rate of 25%</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(47,332)</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(39,713)</w:t>
            </w:r>
          </w:p>
        </w:tc>
      </w:tr>
      <w:tr>
        <w:trPr>
          <w:trHeight w:val="227"/>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Non-deductible expenses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6,768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26,292</w:t>
            </w:r>
          </w:p>
        </w:tc>
      </w:tr>
      <w:tr>
        <w:trPr>
          <w:trHeight w:val="200"/>
        </w:trPr>
        <w:tc>
          <w:tcPr>
            <w:tcW w:w="4300" w:type="dxa"/>
            <w:vAlign w:val="bottom"/>
          </w:tcPr>
          <w:p>
            <w:pPr>
              <w:spacing w:after="0"/>
              <w:rPr>
                <w:sz w:val="20"/>
                <w:szCs w:val="20"/>
                <w:color w:val="auto"/>
              </w:rPr>
            </w:pPr>
            <w:r>
              <w:rPr>
                <w:rFonts w:ascii="Arial" w:cs="Arial" w:eastAsia="Arial" w:hAnsi="Arial"/>
                <w:sz w:val="14"/>
                <w:szCs w:val="14"/>
                <w:color w:val="auto"/>
              </w:rPr>
              <w:t>Research and development super-deduction</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(14,094)</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(21,602)</w:t>
            </w:r>
          </w:p>
        </w:tc>
      </w:tr>
      <w:tr>
        <w:trPr>
          <w:trHeight w:val="155"/>
        </w:trPr>
        <w:tc>
          <w:tcPr>
            <w:tcW w:w="4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Effect of different tax rates in different jurisdictions and preferential</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5"/>
        </w:trPr>
        <w:tc>
          <w:tcPr>
            <w:tcW w:w="4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rate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(1,234)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15,144</w:t>
            </w:r>
          </w:p>
        </w:tc>
      </w:tr>
      <w:tr>
        <w:trPr>
          <w:trHeight w:val="209"/>
        </w:trPr>
        <w:tc>
          <w:tcPr>
            <w:tcW w:w="4300" w:type="dxa"/>
            <w:vAlign w:val="bottom"/>
          </w:tcPr>
          <w:p>
            <w:pPr>
              <w:spacing w:after="0"/>
              <w:rPr>
                <w:sz w:val="20"/>
                <w:szCs w:val="20"/>
                <w:color w:val="auto"/>
              </w:rPr>
            </w:pPr>
            <w:r>
              <w:rPr>
                <w:rFonts w:ascii="Arial" w:cs="Arial" w:eastAsia="Arial" w:hAnsi="Arial"/>
                <w:sz w:val="14"/>
                <w:szCs w:val="14"/>
                <w:color w:val="auto"/>
              </w:rPr>
              <w:t>Non-taxable income</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(8,828)</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(7,091)</w:t>
            </w:r>
          </w:p>
        </w:tc>
      </w:tr>
      <w:tr>
        <w:trPr>
          <w:trHeight w:val="227"/>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Other adjustments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14,352</w:t>
            </w:r>
          </w:p>
        </w:tc>
      </w:tr>
      <w:tr>
        <w:trPr>
          <w:trHeight w:val="204"/>
        </w:trPr>
        <w:tc>
          <w:tcPr>
            <w:tcW w:w="4300" w:type="dxa"/>
            <w:vAlign w:val="bottom"/>
          </w:tcPr>
          <w:p>
            <w:pPr>
              <w:spacing w:after="0"/>
              <w:rPr>
                <w:sz w:val="20"/>
                <w:szCs w:val="20"/>
                <w:color w:val="auto"/>
              </w:rPr>
            </w:pPr>
            <w:r>
              <w:rPr>
                <w:rFonts w:ascii="Arial" w:cs="Arial" w:eastAsia="Arial" w:hAnsi="Arial"/>
                <w:sz w:val="14"/>
                <w:szCs w:val="14"/>
                <w:color w:val="auto"/>
              </w:rPr>
              <w:t>Change in valuation allowance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13,002</w:t>
            </w:r>
          </w:p>
        </w:tc>
        <w:tc>
          <w:tcPr>
            <w:tcW w:w="100" w:type="dxa"/>
            <w:vAlign w:val="bottom"/>
          </w:tcPr>
          <w:p>
            <w:pPr>
              <w:spacing w:after="0"/>
              <w:rPr>
                <w:sz w:val="17"/>
                <w:szCs w:val="17"/>
                <w:color w:val="auto"/>
              </w:rPr>
            </w:pPr>
          </w:p>
        </w:tc>
      </w:tr>
      <w:tr>
        <w:trPr>
          <w:trHeight w:val="231"/>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384</w:t>
            </w:r>
          </w:p>
        </w:tc>
      </w:tr>
      <w:tr>
        <w:trPr>
          <w:trHeight w:val="262"/>
        </w:trPr>
        <w:tc>
          <w:tcPr>
            <w:tcW w:w="4300" w:type="dxa"/>
            <w:vAlign w:val="bottom"/>
            <w:tcBorders>
              <w:top w:val="single" w:sz="8" w:color="CCEEFF"/>
              <w:bottom w:val="single" w:sz="8" w:color="auto"/>
            </w:tcBorders>
          </w:tcPr>
          <w:p>
            <w:pPr>
              <w:ind w:left="2960"/>
              <w:spacing w:after="0"/>
              <w:rPr>
                <w:sz w:val="20"/>
                <w:szCs w:val="20"/>
                <w:color w:val="auto"/>
              </w:rPr>
            </w:pPr>
            <w:r>
              <w:rPr>
                <w:rFonts w:ascii="Arial" w:cs="Arial" w:eastAsia="Arial" w:hAnsi="Arial"/>
                <w:sz w:val="14"/>
                <w:szCs w:val="14"/>
                <w:color w:val="auto"/>
              </w:rPr>
              <w:t>F-50</w:t>
            </w: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spacing w:after="0"/>
              <w:rPr>
                <w:sz w:val="22"/>
                <w:szCs w:val="22"/>
                <w:color w:val="auto"/>
              </w:rPr>
            </w:pPr>
          </w:p>
        </w:tc>
      </w:tr>
    </w:tbl>
    <w:p>
      <w:pPr>
        <w:sectPr>
          <w:pgSz w:w="11920" w:h="16838" w:orient="portrait"/>
          <w:cols w:equalWidth="0" w:num="1">
            <w:col w:w="9038"/>
          </w:cols>
          <w:pgMar w:left="1440" w:top="230" w:right="1440" w:bottom="1440" w:gutter="0" w:footer="0" w:header="0"/>
        </w:sectPr>
      </w:pPr>
    </w:p>
    <w:bookmarkStart w:id="348" w:name="page349"/>
    <w:bookmarkEnd w:id="348"/>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16. INCOME TAX (cont.)</w:t>
      </w:r>
    </w:p>
    <w:p>
      <w:pPr>
        <w:spacing w:after="0" w:line="163" w:lineRule="exact"/>
        <w:rPr>
          <w:sz w:val="20"/>
          <w:szCs w:val="20"/>
          <w:color w:val="auto"/>
        </w:rPr>
      </w:pPr>
    </w:p>
    <w:p>
      <w:pPr>
        <w:ind w:left="1420"/>
        <w:spacing w:after="0"/>
        <w:rPr>
          <w:sz w:val="20"/>
          <w:szCs w:val="20"/>
          <w:color w:val="auto"/>
        </w:rPr>
      </w:pPr>
      <w:r>
        <w:rPr>
          <w:rFonts w:ascii="Arial" w:cs="Arial" w:eastAsia="Arial" w:hAnsi="Arial"/>
          <w:sz w:val="14"/>
          <w:szCs w:val="14"/>
          <w:i w:val="1"/>
          <w:iCs w:val="1"/>
          <w:color w:val="auto"/>
        </w:rPr>
        <w:t>Deferred Tax</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significant components of deferred taxes were as follows: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As of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08"/>
        </w:trPr>
        <w:tc>
          <w:tcPr>
            <w:tcW w:w="3420" w:type="dxa"/>
            <w:vAlign w:val="bottom"/>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r>
      <w:tr>
        <w:trPr>
          <w:trHeight w:val="198"/>
        </w:trPr>
        <w:tc>
          <w:tcPr>
            <w:tcW w:w="34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Arial" w:cs="Arial" w:eastAsia="Arial" w:hAnsi="Arial"/>
                <w:sz w:val="11"/>
                <w:szCs w:val="11"/>
                <w:b w:val="1"/>
                <w:bCs w:val="1"/>
                <w:color w:val="auto"/>
              </w:rPr>
              <w:t>RMB</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US$</w:t>
            </w: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420" w:type="dxa"/>
            <w:vAlign w:val="bottom"/>
          </w:tcPr>
          <w:p>
            <w:pPr>
              <w:ind w:left="280"/>
              <w:spacing w:after="0"/>
              <w:rPr>
                <w:sz w:val="20"/>
                <w:szCs w:val="20"/>
                <w:color w:val="auto"/>
              </w:rPr>
            </w:pPr>
            <w:r>
              <w:rPr>
                <w:rFonts w:ascii="Arial" w:cs="Arial" w:eastAsia="Arial" w:hAnsi="Arial"/>
                <w:sz w:val="14"/>
                <w:szCs w:val="14"/>
                <w:color w:val="auto"/>
              </w:rPr>
              <w:t>Deferred deductible advertising expense</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r>
      <w:tr>
        <w:trPr>
          <w:trHeight w:val="227"/>
        </w:trPr>
        <w:tc>
          <w:tcPr>
            <w:tcW w:w="3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liabilities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428</w:t>
            </w:r>
          </w:p>
        </w:tc>
      </w:tr>
      <w:tr>
        <w:trPr>
          <w:trHeight w:val="209"/>
        </w:trPr>
        <w:tc>
          <w:tcPr>
            <w:tcW w:w="3420" w:type="dxa"/>
            <w:vAlign w:val="bottom"/>
          </w:tcPr>
          <w:p>
            <w:pPr>
              <w:ind w:left="280"/>
              <w:spacing w:after="0"/>
              <w:rPr>
                <w:sz w:val="20"/>
                <w:szCs w:val="20"/>
                <w:color w:val="auto"/>
              </w:rPr>
            </w:pPr>
            <w:r>
              <w:rPr>
                <w:rFonts w:ascii="Arial" w:cs="Arial" w:eastAsia="Arial" w:hAnsi="Arial"/>
                <w:sz w:val="14"/>
                <w:szCs w:val="14"/>
                <w:color w:val="auto"/>
              </w:rPr>
              <w:t>Asset impairment and others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9,002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1,290</w:t>
            </w:r>
          </w:p>
        </w:tc>
      </w:tr>
      <w:tr>
        <w:trPr>
          <w:trHeight w:val="227"/>
        </w:trPr>
        <w:tc>
          <w:tcPr>
            <w:tcW w:w="3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Non-deductible bad debt provision</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1,367</w:t>
            </w:r>
          </w:p>
        </w:tc>
      </w:tr>
      <w:tr>
        <w:trPr>
          <w:trHeight w:val="209"/>
        </w:trPr>
        <w:tc>
          <w:tcPr>
            <w:tcW w:w="3420" w:type="dxa"/>
            <w:vAlign w:val="bottom"/>
          </w:tcPr>
          <w:p>
            <w:pPr>
              <w:ind w:left="280"/>
              <w:spacing w:after="0"/>
              <w:rPr>
                <w:sz w:val="20"/>
                <w:szCs w:val="20"/>
                <w:color w:val="auto"/>
              </w:rPr>
            </w:pPr>
            <w:r>
              <w:rPr>
                <w:rFonts w:ascii="Arial" w:cs="Arial" w:eastAsia="Arial" w:hAnsi="Arial"/>
                <w:sz w:val="14"/>
                <w:szCs w:val="14"/>
                <w:color w:val="auto"/>
              </w:rPr>
              <w:t>Net operating losses carrying forward</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401,433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427,935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61,194</w:t>
            </w:r>
          </w:p>
        </w:tc>
      </w:tr>
      <w:tr>
        <w:trPr>
          <w:trHeight w:val="227"/>
        </w:trPr>
        <w:tc>
          <w:tcPr>
            <w:tcW w:w="3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deferred tax assets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426,548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449,527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64,281</w:t>
            </w:r>
          </w:p>
        </w:tc>
      </w:tr>
      <w:tr>
        <w:trPr>
          <w:trHeight w:val="214"/>
        </w:trPr>
        <w:tc>
          <w:tcPr>
            <w:tcW w:w="3420" w:type="dxa"/>
            <w:vAlign w:val="bottom"/>
          </w:tcPr>
          <w:p>
            <w:pPr>
              <w:ind w:left="280"/>
              <w:spacing w:after="0"/>
              <w:rPr>
                <w:sz w:val="20"/>
                <w:szCs w:val="20"/>
                <w:color w:val="auto"/>
              </w:rPr>
            </w:pPr>
            <w:r>
              <w:rPr>
                <w:rFonts w:ascii="Arial" w:cs="Arial" w:eastAsia="Arial" w:hAnsi="Arial"/>
                <w:sz w:val="14"/>
                <w:szCs w:val="14"/>
                <w:color w:val="auto"/>
              </w:rPr>
              <w:t>Valuation allowance</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(405,016)</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(433,554)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(61,997)</w:t>
            </w:r>
          </w:p>
        </w:tc>
      </w:tr>
      <w:tr>
        <w:trPr>
          <w:trHeight w:val="198"/>
        </w:trPr>
        <w:tc>
          <w:tcPr>
            <w:tcW w:w="3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deferred tax assets, net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3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3420" w:type="dxa"/>
            <w:vAlign w:val="bottom"/>
          </w:tcPr>
          <w:p>
            <w:pPr>
              <w:ind w:left="280"/>
              <w:spacing w:after="0"/>
              <w:rPr>
                <w:sz w:val="20"/>
                <w:szCs w:val="20"/>
                <w:color w:val="auto"/>
              </w:rPr>
            </w:pPr>
            <w:r>
              <w:rPr>
                <w:rFonts w:ascii="Arial" w:cs="Arial" w:eastAsia="Arial" w:hAnsi="Arial"/>
                <w:sz w:val="14"/>
                <w:szCs w:val="14"/>
                <w:color w:val="auto"/>
              </w:rPr>
              <w:t>Intangible assets arising from acquisition</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(15,723)</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(13,024)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(1,862)</w:t>
            </w:r>
          </w:p>
        </w:tc>
      </w:tr>
      <w:tr>
        <w:trPr>
          <w:trHeight w:val="213"/>
        </w:trPr>
        <w:tc>
          <w:tcPr>
            <w:tcW w:w="3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Right-of-use assets</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(5,809)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(422)</w:t>
            </w:r>
          </w:p>
        </w:tc>
      </w:tr>
      <w:tr>
        <w:trPr>
          <w:trHeight w:val="20"/>
        </w:trPr>
        <w:tc>
          <w:tcPr>
            <w:tcW w:w="3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8"/>
        </w:trPr>
        <w:tc>
          <w:tcPr>
            <w:tcW w:w="3420" w:type="dxa"/>
            <w:vAlign w:val="bottom"/>
          </w:tcPr>
          <w:p>
            <w:pPr>
              <w:ind w:left="140"/>
              <w:spacing w:after="0"/>
              <w:rPr>
                <w:sz w:val="20"/>
                <w:szCs w:val="20"/>
                <w:color w:val="auto"/>
              </w:rPr>
            </w:pPr>
            <w:r>
              <w:rPr>
                <w:rFonts w:ascii="Arial" w:cs="Arial" w:eastAsia="Arial" w:hAnsi="Arial"/>
                <w:sz w:val="14"/>
                <w:szCs w:val="14"/>
                <w:color w:val="auto"/>
              </w:rPr>
              <w:t>Total deferred tax liabilities, net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(21,532)</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(15,973)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(2,284)</w:t>
            </w:r>
          </w:p>
        </w:tc>
      </w:tr>
      <w:tr>
        <w:trPr>
          <w:trHeight w:val="20"/>
        </w:trPr>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As of December 31, 2024 and 2025, the Group had cumulative tax losses of RMB1,634,081 and RMB1,571,918 (US$224,781) derived from entities in Chinese mainland and Hong Kong. The tax losses in the Chinese mainland can be carried forward for five years to offset future taxable income and the period was extended to ten years for entities qualified as HNTE in 2021 and thereafter. The tax losses of entities in the PRC will expire from 2026 to 2036, if not utilized. The tax losses in Hong Kong can be carried forward without an expiration date.</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Group did not record any dividend withholding tax, as there were no taxable outside basis differences noted as of the end of the periods presented.</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i w:val="1"/>
          <w:iCs w:val="1"/>
          <w:color w:val="auto"/>
        </w:rPr>
        <w:t>Uncertain Tax Benefits</w:t>
      </w:r>
    </w:p>
    <w:p>
      <w:pPr>
        <w:spacing w:after="0" w:line="107"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As of December 31, 2024 and 2025, the Group had unrecognized tax benefits of RMB49,830 and RMB56,100 (US$8,023), of which RMB45,803 and RMB52,073 (US$7,447), respectively, were presented together with the deferred tax assets on tax losses carried forward on a net basis, and the remaining amounts of RMB4,027 and RMB4,027 (US$576), respectively, were presented in the other non-current liabilities in the combined and consolidated balance sheets. It is possible that the amount of unrecognized benefits will change in the next 12 months; however, an estimate of the range of the possible change cannot be made at this moment. As of December 31, 2024 and 2025, there were RMB4,027 and RMB4,027 (US$576) of unrecognized tax benefits that if recognized would impact the annual effective tax rate.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49" w:name="page350"/>
    <w:bookmarkEnd w:id="349"/>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40" w:hanging="225"/>
        <w:spacing w:after="0"/>
        <w:tabs>
          <w:tab w:leader="none" w:pos="1640" w:val="left"/>
        </w:tabs>
        <w:numPr>
          <w:ilvl w:val="0"/>
          <w:numId w:val="176"/>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(cont.)</w:t>
      </w:r>
    </w:p>
    <w:p>
      <w:pPr>
        <w:spacing w:after="0" w:line="129" w:lineRule="exact"/>
        <w:rPr>
          <w:rFonts w:ascii="Arial" w:cs="Arial" w:eastAsia="Arial" w:hAnsi="Arial"/>
          <w:sz w:val="14"/>
          <w:szCs w:val="14"/>
          <w:b w:val="1"/>
          <w:bCs w:val="1"/>
          <w:color w:val="auto"/>
        </w:rPr>
      </w:pPr>
    </w:p>
    <w:p>
      <w:pPr>
        <w:ind w:left="1660"/>
        <w:spacing w:after="0"/>
        <w:rPr>
          <w:rFonts w:ascii="Arial" w:cs="Arial" w:eastAsia="Arial" w:hAnsi="Arial"/>
          <w:sz w:val="14"/>
          <w:szCs w:val="14"/>
          <w:b w:val="1"/>
          <w:bCs w:val="1"/>
          <w:color w:val="auto"/>
        </w:rPr>
      </w:pPr>
      <w:r>
        <w:rPr>
          <w:rFonts w:ascii="Arial" w:cs="Arial" w:eastAsia="Arial" w:hAnsi="Arial"/>
          <w:sz w:val="14"/>
          <w:szCs w:val="14"/>
          <w:color w:val="auto"/>
        </w:rPr>
        <w:t>A reconciliation of the beginning and ending amount of unrecognized tax benefit is as follows:</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1"/>
                <w:szCs w:val="11"/>
                <w:b w:val="1"/>
                <w:bCs w:val="1"/>
                <w:color w:val="auto"/>
              </w:rPr>
              <w:t>As of December 31,</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98"/>
        </w:trPr>
        <w:tc>
          <w:tcPr>
            <w:tcW w:w="2980" w:type="dxa"/>
            <w:vAlign w:val="bottom"/>
          </w:tcPr>
          <w:p>
            <w:pPr>
              <w:spacing w:after="0"/>
              <w:rPr>
                <w:sz w:val="17"/>
                <w:szCs w:val="17"/>
                <w:color w:val="auto"/>
              </w:rPr>
            </w:pPr>
          </w:p>
        </w:tc>
        <w:tc>
          <w:tcPr>
            <w:tcW w:w="620" w:type="dxa"/>
            <w:vAlign w:val="bottom"/>
          </w:tcPr>
          <w:p>
            <w:pPr>
              <w:jc w:val="right"/>
              <w:ind w:right="75"/>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7"/>
                <w:szCs w:val="17"/>
                <w:color w:val="auto"/>
              </w:rPr>
            </w:pPr>
          </w:p>
        </w:tc>
        <w:tc>
          <w:tcPr>
            <w:tcW w:w="820" w:type="dxa"/>
            <w:vAlign w:val="bottom"/>
            <w:gridSpan w:val="2"/>
          </w:tcPr>
          <w:p>
            <w:pPr>
              <w:jc w:val="right"/>
              <w:ind w:right="195"/>
              <w:spacing w:after="0"/>
              <w:rPr>
                <w:sz w:val="20"/>
                <w:szCs w:val="20"/>
                <w:color w:val="auto"/>
              </w:rPr>
            </w:pPr>
            <w:r>
              <w:rPr>
                <w:rFonts w:ascii="Arial" w:cs="Arial" w:eastAsia="Arial" w:hAnsi="Arial"/>
                <w:sz w:val="11"/>
                <w:szCs w:val="11"/>
                <w:b w:val="1"/>
                <w:bCs w:val="1"/>
                <w:color w:val="auto"/>
              </w:rPr>
              <w:t>2025</w:t>
            </w:r>
          </w:p>
        </w:tc>
        <w:tc>
          <w:tcPr>
            <w:tcW w:w="880" w:type="dxa"/>
            <w:vAlign w:val="bottom"/>
            <w:gridSpan w:val="2"/>
          </w:tcPr>
          <w:p>
            <w:pPr>
              <w:jc w:val="right"/>
              <w:ind w:right="215"/>
              <w:spacing w:after="0"/>
              <w:rPr>
                <w:sz w:val="20"/>
                <w:szCs w:val="20"/>
                <w:color w:val="auto"/>
              </w:rPr>
            </w:pPr>
            <w:r>
              <w:rPr>
                <w:rFonts w:ascii="Arial" w:cs="Arial" w:eastAsia="Arial" w:hAnsi="Arial"/>
                <w:sz w:val="11"/>
                <w:szCs w:val="11"/>
                <w:b w:val="1"/>
                <w:bCs w:val="1"/>
                <w:color w:val="auto"/>
              </w:rPr>
              <w:t>2025</w:t>
            </w:r>
          </w:p>
        </w:tc>
      </w:tr>
      <w:tr>
        <w:trPr>
          <w:trHeight w:val="208"/>
        </w:trPr>
        <w:tc>
          <w:tcPr>
            <w:tcW w:w="298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740" w:type="dxa"/>
            <w:vAlign w:val="bottom"/>
            <w:tcBorders>
              <w:top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820" w:type="dxa"/>
            <w:vAlign w:val="bottom"/>
            <w:tcBorders>
              <w:top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US$</w:t>
            </w:r>
          </w:p>
        </w:tc>
      </w:tr>
      <w:tr>
        <w:trPr>
          <w:trHeight w:val="224"/>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62,191</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62,022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49,830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7,126</w:t>
            </w:r>
          </w:p>
        </w:tc>
      </w:tr>
      <w:tr>
        <w:trPr>
          <w:trHeight w:val="209"/>
        </w:trPr>
        <w:tc>
          <w:tcPr>
            <w:tcW w:w="2980" w:type="dxa"/>
            <w:vAlign w:val="bottom"/>
          </w:tcPr>
          <w:p>
            <w:pPr>
              <w:spacing w:after="0"/>
              <w:rPr>
                <w:sz w:val="20"/>
                <w:szCs w:val="20"/>
                <w:color w:val="auto"/>
              </w:rPr>
            </w:pPr>
            <w:r>
              <w:rPr>
                <w:rFonts w:ascii="Arial" w:cs="Arial" w:eastAsia="Arial" w:hAnsi="Arial"/>
                <w:sz w:val="14"/>
                <w:szCs w:val="14"/>
                <w:color w:val="auto"/>
              </w:rPr>
              <w:t>Increase</w:t>
            </w:r>
          </w:p>
        </w:tc>
        <w:tc>
          <w:tcPr>
            <w:tcW w:w="62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2,245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6,270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897</w:t>
            </w:r>
          </w:p>
        </w:tc>
      </w:tr>
      <w:tr>
        <w:trPr>
          <w:trHeight w:val="213"/>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Decrease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(14,437)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29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Balance at end of year</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62,022</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49,830</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56,100</w:t>
            </w: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8,023</w:t>
            </w:r>
          </w:p>
        </w:tc>
      </w:tr>
      <w:tr>
        <w:trPr>
          <w:trHeight w:val="20"/>
        </w:trPr>
        <w:tc>
          <w:tcPr>
            <w:tcW w:w="2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The Group recorded interest related to uncertain tax position of RMB569, RMB950 and RMB735 (US$105) for the years ended December 31, 2023, 2024 and 2025, respectively. The Group did not record any penalties related to uncertain tax position for the years ended December 31, 2023, 2024 and 2025.</w:t>
      </w:r>
    </w:p>
    <w:p>
      <w:pPr>
        <w:spacing w:after="0" w:line="90" w:lineRule="exact"/>
        <w:rPr>
          <w:sz w:val="20"/>
          <w:szCs w:val="20"/>
          <w:color w:val="auto"/>
        </w:rPr>
      </w:pPr>
    </w:p>
    <w:p>
      <w:pPr>
        <w:jc w:val="both"/>
        <w:ind w:left="1420" w:right="1398" w:firstLine="249"/>
        <w:spacing w:after="0" w:line="310" w:lineRule="auto"/>
        <w:rPr>
          <w:sz w:val="20"/>
          <w:szCs w:val="20"/>
          <w:color w:val="auto"/>
        </w:rPr>
      </w:pPr>
      <w:r>
        <w:rPr>
          <w:rFonts w:ascii="Arial" w:cs="Arial" w:eastAsia="Arial" w:hAnsi="Arial"/>
          <w:sz w:val="13"/>
          <w:szCs w:val="13"/>
          <w:color w:val="auto"/>
        </w:rPr>
        <w:t>As of December 31, 2025, the tax years ended December 31, 2020 through 2025 for the Group’s subsidiaries in the PRC and the VIEs are generally subject to examination by the PRC tax authorities.</w:t>
      </w:r>
    </w:p>
    <w:p>
      <w:pPr>
        <w:spacing w:after="0" w:line="9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17. LOSS PER SHARE</w:t>
      </w:r>
    </w:p>
    <w:p>
      <w:pPr>
        <w:spacing w:after="0" w:line="98"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 xml:space="preserve">In computing the basic and diluted loss per share, the effect of the Restructuring (Note 1(b)) was accounted for in a manner similar to a stock split or stock dividend which was accounted for in accordance with ASC 260, </w:t>
      </w:r>
      <w:r>
        <w:rPr>
          <w:rFonts w:ascii="Arial" w:cs="Arial" w:eastAsia="Arial" w:hAnsi="Arial"/>
          <w:sz w:val="14"/>
          <w:szCs w:val="14"/>
          <w:i w:val="1"/>
          <w:iCs w:val="1"/>
          <w:color w:val="auto"/>
        </w:rPr>
        <w:t>Earnings Per Share</w:t>
      </w:r>
      <w:r>
        <w:rPr>
          <w:rFonts w:ascii="Arial" w:cs="Arial" w:eastAsia="Arial" w:hAnsi="Arial"/>
          <w:sz w:val="14"/>
          <w:szCs w:val="14"/>
          <w:color w:val="auto"/>
        </w:rPr>
        <w:t xml:space="preserve"> (“ASC 260”). Thus, the number of ordinary shares and preferred shares issued by the Company was retrospectively included since the beginning of the earliest period presented.</w:t>
      </w:r>
    </w:p>
    <w:p>
      <w:pPr>
        <w:spacing w:after="0" w:line="84"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The following table sets forth the computation of basic and diluted net loss per share for each of the periods presented:</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For the years ended December 31,</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7"/>
                <w:szCs w:val="17"/>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7"/>
                <w:szCs w:val="17"/>
                <w:color w:val="auto"/>
              </w:rPr>
            </w:pPr>
          </w:p>
        </w:tc>
        <w:tc>
          <w:tcPr>
            <w:tcW w:w="840" w:type="dxa"/>
            <w:vAlign w:val="bottom"/>
            <w:gridSpan w:val="2"/>
          </w:tcPr>
          <w:p>
            <w:pPr>
              <w:jc w:val="right"/>
              <w:ind w:right="155"/>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7"/>
                <w:szCs w:val="17"/>
                <w:color w:val="auto"/>
              </w:rPr>
            </w:pPr>
          </w:p>
        </w:tc>
        <w:tc>
          <w:tcPr>
            <w:tcW w:w="840" w:type="dxa"/>
            <w:vAlign w:val="bottom"/>
            <w:gridSpan w:val="2"/>
          </w:tcPr>
          <w:p>
            <w:pPr>
              <w:jc w:val="right"/>
              <w:ind w:right="155"/>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RMB</w:t>
            </w:r>
          </w:p>
        </w:tc>
        <w:tc>
          <w:tcPr>
            <w:tcW w:w="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US$</w:t>
            </w: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37"/>
        </w:trPr>
        <w:tc>
          <w:tcPr>
            <w:tcW w:w="20" w:type="dxa"/>
            <w:vAlign w:val="bottom"/>
          </w:tcPr>
          <w:p>
            <w:pPr>
              <w:spacing w:after="0"/>
              <w:rPr>
                <w:sz w:val="11"/>
                <w:szCs w:val="11"/>
                <w:color w:val="auto"/>
              </w:rPr>
            </w:pPr>
          </w:p>
        </w:tc>
        <w:tc>
          <w:tcPr>
            <w:tcW w:w="2460" w:type="dxa"/>
            <w:vAlign w:val="bottom"/>
          </w:tcPr>
          <w:p>
            <w:pPr>
              <w:spacing w:after="0" w:line="137" w:lineRule="exact"/>
              <w:rPr>
                <w:sz w:val="20"/>
                <w:szCs w:val="20"/>
                <w:color w:val="auto"/>
              </w:rPr>
            </w:pPr>
            <w:r>
              <w:rPr>
                <w:rFonts w:ascii="Arial" w:cs="Arial" w:eastAsia="Arial" w:hAnsi="Arial"/>
                <w:sz w:val="14"/>
                <w:szCs w:val="14"/>
                <w:color w:val="auto"/>
              </w:rPr>
              <w:t>Net loss attributable to DSC Holdings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Ltd.</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(178,364)</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(154,806)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(95,050)</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(13,592)</w:t>
            </w:r>
          </w:p>
        </w:tc>
      </w:tr>
      <w:tr>
        <w:trPr>
          <w:trHeight w:val="227"/>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Cancellation of preferred shares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113,370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7"/>
        </w:trPr>
        <w:tc>
          <w:tcPr>
            <w:tcW w:w="20" w:type="dxa"/>
            <w:vAlign w:val="bottom"/>
          </w:tcPr>
          <w:p>
            <w:pPr>
              <w:spacing w:after="0"/>
              <w:rPr>
                <w:sz w:val="11"/>
                <w:szCs w:val="11"/>
                <w:color w:val="auto"/>
              </w:rPr>
            </w:pPr>
          </w:p>
        </w:tc>
        <w:tc>
          <w:tcPr>
            <w:tcW w:w="2460" w:type="dxa"/>
            <w:vAlign w:val="bottom"/>
          </w:tcPr>
          <w:p>
            <w:pPr>
              <w:spacing w:after="0" w:line="137" w:lineRule="exact"/>
              <w:rPr>
                <w:sz w:val="20"/>
                <w:szCs w:val="20"/>
                <w:color w:val="auto"/>
              </w:rPr>
            </w:pPr>
            <w:r>
              <w:rPr>
                <w:rFonts w:ascii="Arial" w:cs="Arial" w:eastAsia="Arial" w:hAnsi="Arial"/>
                <w:sz w:val="14"/>
                <w:szCs w:val="14"/>
                <w:color w:val="auto"/>
              </w:rPr>
              <w:t>Deemed dividends of the Company`s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preferred shares</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(8,874)</w:t>
            </w:r>
          </w:p>
        </w:tc>
        <w:tc>
          <w:tcPr>
            <w:tcW w:w="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5"/>
        </w:trPr>
        <w:tc>
          <w:tcPr>
            <w:tcW w:w="20" w:type="dxa"/>
            <w:vAlign w:val="bottom"/>
          </w:tcPr>
          <w:p>
            <w:pPr>
              <w:spacing w:after="0"/>
              <w:rPr>
                <w:sz w:val="13"/>
                <w:szCs w:val="13"/>
                <w:color w:val="auto"/>
              </w:rPr>
            </w:pPr>
          </w:p>
        </w:tc>
        <w:tc>
          <w:tcPr>
            <w:tcW w:w="24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Accretion of the Company’s preferred</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(6,529,630)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(1,507,652)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(1,755,640)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(251,053)</w:t>
            </w:r>
          </w:p>
        </w:tc>
      </w:tr>
      <w:tr>
        <w:trPr>
          <w:trHeight w:val="131"/>
        </w:trPr>
        <w:tc>
          <w:tcPr>
            <w:tcW w:w="20" w:type="dxa"/>
            <w:vAlign w:val="bottom"/>
          </w:tcPr>
          <w:p>
            <w:pPr>
              <w:spacing w:after="0"/>
              <w:rPr>
                <w:sz w:val="11"/>
                <w:szCs w:val="11"/>
                <w:color w:val="auto"/>
              </w:rPr>
            </w:pPr>
          </w:p>
        </w:tc>
        <w:tc>
          <w:tcPr>
            <w:tcW w:w="246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Net loss attributable to ordinary</w:t>
            </w: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4"/>
                <w:szCs w:val="14"/>
                <w:b w:val="1"/>
                <w:bCs w:val="1"/>
                <w:color w:val="auto"/>
              </w:rPr>
              <w:t>shareholders of DSC Holdings Ltd.</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(6,603,498)</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(1,662,458)</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(1,850,690)</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(264,645)</w:t>
            </w: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6"/>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Denominator:</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46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shares outstanding – Basic and</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136,159,402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136,159,402</w:t>
            </w:r>
          </w:p>
        </w:tc>
        <w:tc>
          <w:tcPr>
            <w:tcW w:w="100" w:type="dxa"/>
            <w:vAlign w:val="bottom"/>
            <w:shd w:val="clear" w:color="auto" w:fill="CCEEFF"/>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246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b w:val="1"/>
                <w:bCs w:val="1"/>
                <w:color w:val="auto"/>
              </w:rPr>
              <w:t>Net loss per share – basic and</w:t>
            </w: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93"/>
        </w:trPr>
        <w:tc>
          <w:tcPr>
            <w:tcW w:w="20" w:type="dxa"/>
            <w:vAlign w:val="bottom"/>
          </w:tcPr>
          <w:p>
            <w:pPr>
              <w:spacing w:after="0"/>
              <w:rPr>
                <w:sz w:val="16"/>
                <w:szCs w:val="16"/>
                <w:color w:val="auto"/>
              </w:rPr>
            </w:pPr>
          </w:p>
        </w:tc>
        <w:tc>
          <w:tcPr>
            <w:tcW w:w="2460" w:type="dxa"/>
            <w:vAlign w:val="bottom"/>
          </w:tcPr>
          <w:p>
            <w:pPr>
              <w:ind w:left="120"/>
              <w:spacing w:after="0"/>
              <w:rPr>
                <w:sz w:val="20"/>
                <w:szCs w:val="20"/>
                <w:color w:val="auto"/>
              </w:rPr>
            </w:pPr>
            <w:r>
              <w:rPr>
                <w:rFonts w:ascii="Arial" w:cs="Arial" w:eastAsia="Arial" w:hAnsi="Arial"/>
                <w:sz w:val="14"/>
                <w:szCs w:val="14"/>
                <w:b w:val="1"/>
                <w:bCs w:val="1"/>
                <w:color w:val="auto"/>
              </w:rPr>
              <w:t>diluted</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(48.50)</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(12.21)</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(13.59)</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(1.94)</w:t>
            </w:r>
          </w:p>
        </w:tc>
      </w:tr>
      <w:tr>
        <w:trPr>
          <w:trHeight w:val="303"/>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F-52</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20" w:h="16838" w:orient="portrait"/>
          <w:cols w:equalWidth="0" w:num="1">
            <w:col w:w="9038"/>
          </w:cols>
          <w:pgMar w:left="1440" w:top="230" w:right="1440" w:bottom="1440" w:gutter="0" w:footer="0" w:header="0"/>
        </w:sectPr>
      </w:pPr>
    </w:p>
    <w:bookmarkStart w:id="350" w:name="page351"/>
    <w:bookmarkEnd w:id="350"/>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17. LOSS PER SHARE (cont.)</w:t>
      </w:r>
    </w:p>
    <w:p>
      <w:pPr>
        <w:spacing w:after="0" w:line="130"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For the years presented, net loss was not allocated to the convertible preferred shares as they do not have contractual obligation to share in the losses of the Group. The computation also excluded the effects of all outstanding options, warrants and Preferred Shares as their inclusion would be anti-dilutive for all periods presented.</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18. RESTRICTED NET ASSETS</w:t>
      </w:r>
    </w:p>
    <w:p>
      <w:pPr>
        <w:spacing w:after="0" w:line="109"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The Group’s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combined and consolidated financial statements prepared in accordance with U.S. GAAP differ from those reflected in the statutory financial statements of the Company’s PRC subsidiaries.</w:t>
      </w:r>
    </w:p>
    <w:p>
      <w:pPr>
        <w:spacing w:after="0" w:line="76"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In accordance with the PRC Regulations on Enterprises with Foreign Investment and the articles of association, the Company’s PRC subsidiaries, must allocate at least 10% of its annual after-tax profit to a general reserve fund or statutory surplus fund until such reserve has reached 50% of the subsidiaries’ respective registered capital based on its PRC statutory accounts. The aforementioned reserves can only be used for specific purposes and are not distributable as cash dividends and are not transferable to the Company in the form of loans, advances or cash dividends.</w:t>
      </w:r>
    </w:p>
    <w:p>
      <w:pPr>
        <w:spacing w:after="0" w:line="86" w:lineRule="exact"/>
        <w:rPr>
          <w:sz w:val="20"/>
          <w:szCs w:val="20"/>
          <w:color w:val="auto"/>
        </w:rPr>
      </w:pPr>
    </w:p>
    <w:p>
      <w:pPr>
        <w:jc w:val="both"/>
        <w:ind w:left="1420" w:right="1398" w:firstLine="249"/>
        <w:spacing w:after="0" w:line="271" w:lineRule="auto"/>
        <w:rPr>
          <w:sz w:val="20"/>
          <w:szCs w:val="20"/>
          <w:color w:val="auto"/>
        </w:rPr>
      </w:pPr>
      <w:r>
        <w:rPr>
          <w:rFonts w:ascii="Arial" w:cs="Arial" w:eastAsia="Arial" w:hAnsi="Arial"/>
          <w:sz w:val="14"/>
          <w:szCs w:val="14"/>
          <w:color w:val="auto"/>
        </w:rPr>
        <w:t>As of December 31, 2024 and 2025, the Company’s PRC subsidiaries had appropriated RMB1,212 and RMB1,982 (US$283), respectively, in their consolidated statutory reserves.</w:t>
      </w:r>
    </w:p>
    <w:p>
      <w:pPr>
        <w:spacing w:after="0" w:line="62" w:lineRule="exact"/>
        <w:rPr>
          <w:sz w:val="20"/>
          <w:szCs w:val="20"/>
          <w:color w:val="auto"/>
        </w:rPr>
      </w:pPr>
    </w:p>
    <w:p>
      <w:pPr>
        <w:jc w:val="both"/>
        <w:ind w:left="1420" w:right="1398" w:firstLine="249"/>
        <w:spacing w:after="0" w:line="238" w:lineRule="auto"/>
        <w:rPr>
          <w:sz w:val="20"/>
          <w:szCs w:val="20"/>
          <w:color w:val="auto"/>
        </w:rPr>
      </w:pPr>
      <w:r>
        <w:rPr>
          <w:rFonts w:ascii="Arial" w:cs="Arial" w:eastAsia="Arial" w:hAnsi="Arial"/>
          <w:sz w:val="14"/>
          <w:szCs w:val="14"/>
          <w:color w:val="auto"/>
        </w:rPr>
        <w:t>As a result of these PRC laws and regulations subject to the limit discussed above that require annual appropriations of 10% of after-tax income to be set aside, prior to payment of dividends as general reserve fund, the Company’s PRC subsidiaries are restricted in their ability to transfer a portion of their net assets to the Company. Amounts restricted include paid-in capital, additional paid-in capital and statutory reserve funds of the Company’s PRC subsidiaries, as determined pursuant to PRC generally accepted accounting principles, totaling RMB1,342,481 and RMB1,241,252 (US$177,497) as of December 31, 2024 and 2025, respectively.</w:t>
      </w:r>
    </w:p>
    <w:p>
      <w:pPr>
        <w:spacing w:after="0" w:line="138" w:lineRule="exact"/>
        <w:rPr>
          <w:sz w:val="20"/>
          <w:szCs w:val="20"/>
          <w:color w:val="auto"/>
        </w:rPr>
      </w:pPr>
    </w:p>
    <w:p>
      <w:pPr>
        <w:ind w:left="1640" w:hanging="225"/>
        <w:spacing w:after="0"/>
        <w:tabs>
          <w:tab w:leader="none" w:pos="1640" w:val="left"/>
        </w:tabs>
        <w:numPr>
          <w:ilvl w:val="0"/>
          <w:numId w:val="177"/>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8" w:lineRule="exact"/>
        <w:rPr>
          <w:rFonts w:ascii="Arial" w:cs="Arial" w:eastAsia="Arial" w:hAnsi="Arial"/>
          <w:sz w:val="14"/>
          <w:szCs w:val="14"/>
          <w:b w:val="1"/>
          <w:bCs w:val="1"/>
          <w:color w:val="auto"/>
        </w:rPr>
      </w:pPr>
    </w:p>
    <w:p>
      <w:pPr>
        <w:ind w:left="1660"/>
        <w:spacing w:after="0"/>
        <w:rPr>
          <w:rFonts w:ascii="Arial" w:cs="Arial" w:eastAsia="Arial" w:hAnsi="Arial"/>
          <w:sz w:val="14"/>
          <w:szCs w:val="14"/>
          <w:b w:val="1"/>
          <w:bCs w:val="1"/>
          <w:color w:val="auto"/>
        </w:rPr>
      </w:pPr>
      <w:r>
        <w:rPr>
          <w:rFonts w:ascii="Arial" w:cs="Arial" w:eastAsia="Arial" w:hAnsi="Arial"/>
          <w:sz w:val="14"/>
          <w:szCs w:val="14"/>
          <w:color w:val="auto"/>
        </w:rPr>
        <w:t>The subsequent events have been evaluated through June 22, 2026.</w:t>
      </w:r>
    </w:p>
    <w:p>
      <w:pPr>
        <w:spacing w:after="0" w:line="109" w:lineRule="exact"/>
        <w:rPr>
          <w:sz w:val="20"/>
          <w:szCs w:val="20"/>
          <w:color w:val="auto"/>
        </w:rPr>
      </w:pPr>
    </w:p>
    <w:p>
      <w:pPr>
        <w:jc w:val="both"/>
        <w:ind w:left="1420" w:right="1398"/>
        <w:spacing w:after="0" w:line="271" w:lineRule="auto"/>
        <w:rPr>
          <w:sz w:val="20"/>
          <w:szCs w:val="20"/>
          <w:color w:val="auto"/>
        </w:rPr>
      </w:pPr>
      <w:r>
        <w:rPr>
          <w:rFonts w:ascii="Arial" w:cs="Arial" w:eastAsia="Arial" w:hAnsi="Arial"/>
          <w:sz w:val="14"/>
          <w:szCs w:val="14"/>
          <w:u w:val="single" w:color="auto"/>
          <w:color w:val="auto"/>
        </w:rPr>
        <w:t>Events (unaudited) subsequent to the date of Report of Independent Registered Public Accounting Firm</w:t>
      </w:r>
    </w:p>
    <w:p>
      <w:pPr>
        <w:spacing w:after="0" w:line="62" w:lineRule="exact"/>
        <w:rPr>
          <w:sz w:val="20"/>
          <w:szCs w:val="20"/>
          <w:color w:val="auto"/>
        </w:rPr>
      </w:pPr>
    </w:p>
    <w:p>
      <w:pPr>
        <w:jc w:val="both"/>
        <w:ind w:left="1420" w:right="1398" w:firstLine="249"/>
        <w:spacing w:after="0" w:line="237" w:lineRule="auto"/>
        <w:rPr>
          <w:sz w:val="20"/>
          <w:szCs w:val="20"/>
          <w:color w:val="auto"/>
        </w:rPr>
      </w:pPr>
      <w:r>
        <w:rPr>
          <w:rFonts w:ascii="Arial" w:cs="Arial" w:eastAsia="Arial" w:hAnsi="Arial"/>
          <w:sz w:val="14"/>
          <w:szCs w:val="14"/>
          <w:color w:val="auto"/>
        </w:rPr>
        <w:t>The Group granted a total of 9,633,079 options under its 2023 Plan to both its and the Predecessor’s employees. The options will vest over a period of zero to four years and are also subject to an IPO performance condition. The total related estimated share-based compensation expense and deemed dividend is approximately RMB43,609 (US$6,236). The Group expects to recognize share -based compensation expenses and deemed dividend of RMB24,130 (US$ 3,451) and RMB9,371 (US$1,340), respectively, related to options with no service conditions upon completion of its IPO. The Group will recognize the remaining share-based compensation expenses and deemed dividend of RMB8,430 (US$1,205) and RMB1,678 (US$240), respectively, over the respective options’ vesting schedule.</w:t>
      </w:r>
    </w:p>
    <w:p>
      <w:pPr>
        <w:spacing w:after="0" w:line="105"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p>
      <w:pPr>
        <w:sectPr>
          <w:pgSz w:w="11920" w:h="16838" w:orient="portrait"/>
          <w:cols w:equalWidth="0" w:num="1">
            <w:col w:w="9038"/>
          </w:cols>
          <w:pgMar w:left="1440" w:top="230" w:right="1440" w:bottom="1440" w:gutter="0" w:footer="0" w:header="0"/>
        </w:sectPr>
      </w:pPr>
    </w:p>
    <w:bookmarkStart w:id="351" w:name="page352"/>
    <w:bookmarkEnd w:id="351"/>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20. PARENT COMPANY ONLY CONDENSED FINANCIAL INFORMATION</w:t>
      </w:r>
    </w:p>
    <w:p>
      <w:pPr>
        <w:spacing w:after="0" w:line="98" w:lineRule="exact"/>
        <w:rPr>
          <w:sz w:val="20"/>
          <w:szCs w:val="20"/>
          <w:color w:val="auto"/>
        </w:rPr>
      </w:pPr>
    </w:p>
    <w:p>
      <w:pPr>
        <w:ind w:left="1420" w:right="1398" w:firstLine="249"/>
        <w:spacing w:after="0" w:line="271" w:lineRule="auto"/>
        <w:rPr>
          <w:sz w:val="20"/>
          <w:szCs w:val="20"/>
          <w:color w:val="auto"/>
        </w:rPr>
      </w:pPr>
      <w:r>
        <w:rPr>
          <w:rFonts w:ascii="Arial" w:cs="Arial" w:eastAsia="Arial" w:hAnsi="Arial"/>
          <w:sz w:val="14"/>
          <w:szCs w:val="14"/>
          <w:color w:val="auto"/>
        </w:rPr>
        <w:t>The following is the condensed financial information of the Company on a parent company only basis.</w:t>
      </w:r>
    </w:p>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auto"/>
        </w:rPr>
        <w:t>Condensed balance sheets</w:t>
      </w:r>
    </w:p>
    <w:p>
      <w:pPr>
        <w:spacing w:after="0" w:line="198"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As of December 31,</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1040" w:type="dxa"/>
            <w:vAlign w:val="bottom"/>
            <w:gridSpan w:val="4"/>
          </w:tcPr>
          <w:p>
            <w:pPr>
              <w:ind w:left="300"/>
              <w:spacing w:after="0"/>
              <w:rPr>
                <w:sz w:val="20"/>
                <w:szCs w:val="20"/>
                <w:color w:val="auto"/>
              </w:rPr>
            </w:pPr>
            <w:r>
              <w:rPr>
                <w:rFonts w:ascii="Arial" w:cs="Arial" w:eastAsia="Arial" w:hAnsi="Arial"/>
                <w:sz w:val="11"/>
                <w:szCs w:val="11"/>
                <w:b w:val="1"/>
                <w:bCs w:val="1"/>
                <w:color w:val="auto"/>
              </w:rPr>
              <w:t>RMB</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54,547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49,914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7,138</w:t>
            </w: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4"/>
                <w:szCs w:val="14"/>
                <w:color w:val="auto"/>
              </w:rPr>
              <w:t>Prepayments and other current assets, net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1,068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55,615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4"/>
                <w:szCs w:val="14"/>
                <w:color w:val="auto"/>
              </w:rPr>
              <w:t>Investments in subsidiaries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166,695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89,047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Contractual interests in the VIEs and their</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568,167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81,244</w:t>
            </w:r>
          </w:p>
        </w:tc>
        <w:tc>
          <w:tcPr>
            <w:tcW w:w="0" w:type="dxa"/>
            <w:vAlign w:val="bottom"/>
          </w:tcPr>
          <w:p>
            <w:pPr>
              <w:spacing w:after="0"/>
              <w:rPr>
                <w:sz w:val="1"/>
                <w:szCs w:val="1"/>
                <w:color w:val="auto"/>
              </w:rPr>
            </w:pPr>
          </w:p>
        </w:tc>
      </w:tr>
      <w:tr>
        <w:trPr>
          <w:trHeight w:val="207"/>
        </w:trPr>
        <w:tc>
          <w:tcPr>
            <w:tcW w:w="3420" w:type="dxa"/>
            <w:vAlign w:val="bottom"/>
            <w:gridSpan w:val="2"/>
          </w:tcPr>
          <w:p>
            <w:pPr>
              <w:spacing w:after="0"/>
              <w:rPr>
                <w:sz w:val="20"/>
                <w:szCs w:val="20"/>
                <w:color w:val="auto"/>
              </w:rPr>
            </w:pPr>
            <w:r>
              <w:rPr>
                <w:rFonts w:ascii="Arial" w:cs="Arial" w:eastAsia="Arial" w:hAnsi="Arial"/>
                <w:sz w:val="14"/>
                <w:szCs w:val="14"/>
                <w:color w:val="auto"/>
              </w:rPr>
              <w:t>Amounts due from related parties, non-current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non-current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749,615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661,190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94,520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805,230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712,188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3400" w:type="dxa"/>
            <w:vAlign w:val="bottom"/>
          </w:tcPr>
          <w:p>
            <w:pPr>
              <w:spacing w:after="0" w:line="137" w:lineRule="exact"/>
              <w:rPr>
                <w:sz w:val="20"/>
                <w:szCs w:val="20"/>
                <w:color w:val="auto"/>
              </w:rPr>
            </w:pPr>
            <w:r>
              <w:rPr>
                <w:rFonts w:ascii="Arial" w:cs="Arial" w:eastAsia="Arial" w:hAnsi="Arial"/>
                <w:sz w:val="14"/>
                <w:szCs w:val="14"/>
                <w:b w:val="1"/>
                <w:bCs w:val="1"/>
                <w:color w:val="auto"/>
              </w:rPr>
              <w:t>LIABILITIES, MEZZANINE EQUITY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Pr>
          <w:p>
            <w:pPr>
              <w:ind w:left="120"/>
              <w:spacing w:after="0"/>
              <w:rPr>
                <w:sz w:val="20"/>
                <w:szCs w:val="20"/>
                <w:color w:val="auto"/>
              </w:rPr>
            </w:pPr>
            <w:r>
              <w:rPr>
                <w:rFonts w:ascii="Arial" w:cs="Arial" w:eastAsia="Arial" w:hAnsi="Arial"/>
                <w:sz w:val="14"/>
                <w:szCs w:val="14"/>
                <w:b w:val="1"/>
                <w:bCs w:val="1"/>
                <w:color w:val="auto"/>
              </w:rPr>
              <w:t>SHAREHOLDERS’ DEFICIT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4"/>
                <w:szCs w:val="14"/>
                <w:color w:val="auto"/>
              </w:rPr>
              <w:t>Accrued expenses and other current liabilities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277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Non-current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Amounts due to related parties, non-current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4,983</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4,873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MEZZANINE EQUITY</w:t>
            </w:r>
          </w:p>
        </w:tc>
        <w:tc>
          <w:tcPr>
            <w:tcW w:w="7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b w:val="1"/>
                <w:bCs w:val="1"/>
                <w:color w:val="auto"/>
              </w:rPr>
              <w:t>14,782,675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b w:val="1"/>
                <w:bCs w:val="1"/>
                <w:color w:val="auto"/>
              </w:rPr>
              <w:t>16,538,315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b w:val="1"/>
                <w:bCs w:val="1"/>
                <w:color w:val="auto"/>
              </w:rPr>
              <w:t>2,364,948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deficit: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Pr>
          <w:p>
            <w:pPr>
              <w:spacing w:after="0" w:line="137" w:lineRule="exact"/>
              <w:rPr>
                <w:sz w:val="20"/>
                <w:szCs w:val="20"/>
                <w:color w:val="auto"/>
              </w:rPr>
            </w:pPr>
            <w:r>
              <w:rPr>
                <w:rFonts w:ascii="Arial" w:cs="Arial" w:eastAsia="Arial" w:hAnsi="Arial"/>
                <w:sz w:val="14"/>
                <w:szCs w:val="14"/>
                <w:color w:val="auto"/>
                <w:w w:val="99"/>
              </w:rPr>
              <w:t>Ordinary Shares (US$0.0001 par value; 1,216,561,622</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120"/>
              <w:spacing w:after="0" w:line="156" w:lineRule="exact"/>
              <w:rPr>
                <w:sz w:val="20"/>
                <w:szCs w:val="20"/>
                <w:color w:val="auto"/>
              </w:rPr>
            </w:pPr>
            <w:r>
              <w:rPr>
                <w:rFonts w:ascii="Arial" w:cs="Arial" w:eastAsia="Arial" w:hAnsi="Arial"/>
                <w:sz w:val="14"/>
                <w:szCs w:val="14"/>
                <w:color w:val="auto"/>
              </w:rPr>
              <w:t>shares authorized, 136,159,402 shares issued and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outstanding as of December 31, 2024 and 2025)</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(13,982,036)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(15,828,914)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(2,263,505)</w:t>
            </w: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(515)</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(2,209)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SHAREHOLDERS’ DEFICIT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8"/>
              </w:rPr>
              <w:t>(13,982,428)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(15,831,000)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(2,263,803)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00" w:type="dxa"/>
            <w:vAlign w:val="bottom"/>
          </w:tcPr>
          <w:p>
            <w:pPr>
              <w:spacing w:after="0" w:line="117" w:lineRule="exact"/>
              <w:rPr>
                <w:sz w:val="20"/>
                <w:szCs w:val="20"/>
                <w:color w:val="auto"/>
              </w:rPr>
            </w:pPr>
            <w:r>
              <w:rPr>
                <w:rFonts w:ascii="Arial" w:cs="Arial" w:eastAsia="Arial" w:hAnsi="Arial"/>
                <w:sz w:val="13"/>
                <w:szCs w:val="13"/>
                <w:b w:val="1"/>
                <w:bCs w:val="1"/>
                <w:color w:val="auto"/>
              </w:rPr>
              <w:t>TOTAL MEZZANINE EQUITY AND</w:t>
            </w: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0" w:type="dxa"/>
            <w:vAlign w:val="bottom"/>
          </w:tcPr>
          <w:p>
            <w:pPr>
              <w:ind w:left="120"/>
              <w:spacing w:after="0"/>
              <w:rPr>
                <w:sz w:val="20"/>
                <w:szCs w:val="20"/>
                <w:color w:val="auto"/>
              </w:rPr>
            </w:pPr>
            <w:r>
              <w:rPr>
                <w:rFonts w:ascii="Arial" w:cs="Arial" w:eastAsia="Arial" w:hAnsi="Arial"/>
                <w:sz w:val="14"/>
                <w:szCs w:val="14"/>
                <w:b w:val="1"/>
                <w:bCs w:val="1"/>
                <w:color w:val="auto"/>
              </w:rPr>
              <w:t>SHAREHOLDERS’ DEFICIT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800,247</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707,315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vMerge w:val="restart"/>
          </w:tcPr>
          <w:p>
            <w:pPr>
              <w:ind w:left="2940"/>
              <w:spacing w:after="0"/>
              <w:rPr>
                <w:sz w:val="20"/>
                <w:szCs w:val="20"/>
                <w:color w:val="auto"/>
              </w:rPr>
            </w:pPr>
            <w:r>
              <w:rPr>
                <w:rFonts w:ascii="Arial" w:cs="Arial" w:eastAsia="Arial" w:hAnsi="Arial"/>
                <w:sz w:val="14"/>
                <w:szCs w:val="14"/>
                <w:color w:val="auto"/>
              </w:rPr>
              <w:t>F-54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340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52" w:name="page353"/>
    <w:bookmarkEnd w:id="352"/>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60" w:right="2518" w:hanging="245"/>
        <w:spacing w:after="0" w:line="462" w:lineRule="auto"/>
        <w:tabs>
          <w:tab w:leader="none" w:pos="1642"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PARENT COMPANY ONLY CONDENSED FINANCIAL INFORMATION (cont.) </w:t>
      </w:r>
      <w:r>
        <w:rPr>
          <w:rFonts w:ascii="Arial" w:cs="Arial" w:eastAsia="Arial" w:hAnsi="Arial"/>
          <w:sz w:val="14"/>
          <w:szCs w:val="14"/>
          <w:b w:val="1"/>
          <w:bCs w:val="1"/>
          <w:i w:val="1"/>
          <w:iCs w:val="1"/>
          <w:color w:val="auto"/>
        </w:rPr>
        <w:t>Condensed statements of comprehensive loss</w:t>
      </w:r>
    </w:p>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For the years ended December 31,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40" w:type="dxa"/>
            <w:vAlign w:val="bottom"/>
            <w:gridSpan w:val="4"/>
          </w:tcPr>
          <w:p>
            <w:pPr>
              <w:ind w:left="260"/>
              <w:spacing w:after="0"/>
              <w:rPr>
                <w:sz w:val="20"/>
                <w:szCs w:val="20"/>
                <w:color w:val="auto"/>
              </w:rPr>
            </w:pPr>
            <w:r>
              <w:rPr>
                <w:rFonts w:ascii="Arial" w:cs="Arial" w:eastAsia="Arial" w:hAnsi="Arial"/>
                <w:sz w:val="11"/>
                <w:szCs w:val="11"/>
                <w:b w:val="1"/>
                <w:bCs w:val="1"/>
                <w:color w:val="auto"/>
              </w:rPr>
              <w:t>RMB</w:t>
            </w: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(423)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(743)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(626)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4"/>
                <w:szCs w:val="14"/>
                <w:color w:val="auto"/>
              </w:rPr>
              <w:t>Foreign exchange gain (loss)</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1,483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(702)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Share of losses in subsidiaries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(150,081)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(157,723)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(10,033)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00" w:type="dxa"/>
            <w:vAlign w:val="bottom"/>
          </w:tcPr>
          <w:p>
            <w:pPr>
              <w:spacing w:after="0" w:line="137" w:lineRule="exact"/>
              <w:rPr>
                <w:sz w:val="20"/>
                <w:szCs w:val="20"/>
                <w:color w:val="auto"/>
              </w:rPr>
            </w:pPr>
            <w:r>
              <w:rPr>
                <w:rFonts w:ascii="Arial" w:cs="Arial" w:eastAsia="Arial" w:hAnsi="Arial"/>
                <w:sz w:val="14"/>
                <w:szCs w:val="14"/>
                <w:color w:val="auto"/>
              </w:rPr>
              <w:t>Share of (losses) gain in the VIEs and their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ind w:left="120"/>
              <w:spacing w:after="0"/>
              <w:rPr>
                <w:sz w:val="20"/>
                <w:szCs w:val="20"/>
                <w:color w:val="auto"/>
              </w:rPr>
            </w:pPr>
            <w:r>
              <w:rPr>
                <w:rFonts w:ascii="Arial" w:cs="Arial" w:eastAsia="Arial" w:hAnsi="Arial"/>
                <w:sz w:val="14"/>
                <w:szCs w:val="14"/>
                <w:color w:val="auto"/>
              </w:rPr>
              <w:t>subsidiaries</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(30,754)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(25,475)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Net loss attributable to DSC Holdings Ltd.</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(178,364)</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(154,806)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(95,050)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(13,592)</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Cancellation of preferred shares</w:t>
            </w: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113,370</w:t>
            </w: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Deemed dividends from modifications of</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(8,874)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820" w:type="dxa"/>
            <w:vAlign w:val="bottom"/>
            <w:gridSpan w:val="2"/>
          </w:tcPr>
          <w:p>
            <w:pPr>
              <w:spacing w:after="0"/>
              <w:rPr>
                <w:sz w:val="20"/>
                <w:szCs w:val="20"/>
                <w:color w:val="auto"/>
              </w:rPr>
            </w:pPr>
            <w:r>
              <w:rPr>
                <w:rFonts w:ascii="Arial" w:cs="Arial" w:eastAsia="Arial" w:hAnsi="Arial"/>
                <w:sz w:val="14"/>
                <w:szCs w:val="14"/>
                <w:color w:val="auto"/>
              </w:rPr>
              <w:t>Accretion of preferred shares</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(6,529,630)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(1,507,652)</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(1,755,640)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(251,053)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Net loss to ordinary shareholders of DSC</w:t>
            </w: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Holdings Ltd.</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(6,603,498)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(1,662,458)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(1,850,690)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(264,645)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800" w:type="dxa"/>
            <w:vAlign w:val="bottom"/>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Other comprehensive loss, net of tax of</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nil:</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2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(1,191)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(1,694)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0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Comprehensive loss attributable to DSC</w:t>
            </w: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Holdings Ltd.</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(179,555)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(153,641)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(96,744)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gridSpan w:val="2"/>
          </w:tcPr>
          <w:p>
            <w:pPr>
              <w:spacing w:after="0"/>
              <w:rPr>
                <w:sz w:val="20"/>
                <w:szCs w:val="20"/>
                <w:color w:val="auto"/>
              </w:rPr>
            </w:pPr>
            <w:r>
              <w:rPr>
                <w:rFonts w:ascii="Arial" w:cs="Arial" w:eastAsia="Arial" w:hAnsi="Arial"/>
                <w:sz w:val="14"/>
                <w:szCs w:val="14"/>
                <w:color w:val="auto"/>
              </w:rPr>
              <w:t>Cancellation of preferred shares</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113,370</w:t>
            </w: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Deemed dividends from modifications of</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shares</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(8,874)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2820" w:type="dxa"/>
            <w:vAlign w:val="bottom"/>
            <w:gridSpan w:val="2"/>
          </w:tcPr>
          <w:p>
            <w:pPr>
              <w:spacing w:after="0"/>
              <w:rPr>
                <w:sz w:val="20"/>
                <w:szCs w:val="20"/>
                <w:color w:val="auto"/>
              </w:rPr>
            </w:pPr>
            <w:r>
              <w:rPr>
                <w:rFonts w:ascii="Arial" w:cs="Arial" w:eastAsia="Arial" w:hAnsi="Arial"/>
                <w:sz w:val="14"/>
                <w:szCs w:val="14"/>
                <w:color w:val="auto"/>
              </w:rPr>
              <w:t>Accretion of preferred shares</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(6,529,630)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(1,507,652)</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(1,755,640)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(251,053)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800" w:type="dxa"/>
            <w:vAlign w:val="bottom"/>
          </w:tcPr>
          <w:p>
            <w:pPr>
              <w:spacing w:after="0" w:line="137" w:lineRule="exact"/>
              <w:rPr>
                <w:sz w:val="20"/>
                <w:szCs w:val="20"/>
                <w:color w:val="auto"/>
              </w:rPr>
            </w:pPr>
            <w:r>
              <w:rPr>
                <w:rFonts w:ascii="Arial" w:cs="Arial" w:eastAsia="Arial" w:hAnsi="Arial"/>
                <w:sz w:val="14"/>
                <w:szCs w:val="14"/>
                <w:b w:val="1"/>
                <w:bCs w:val="1"/>
                <w:color w:val="auto"/>
              </w:rPr>
              <w:t>Comprehensive loss attributable to</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ind w:left="120"/>
              <w:spacing w:after="0" w:line="156" w:lineRule="exact"/>
              <w:rPr>
                <w:sz w:val="20"/>
                <w:szCs w:val="20"/>
                <w:color w:val="auto"/>
              </w:rPr>
            </w:pPr>
            <w:r>
              <w:rPr>
                <w:rFonts w:ascii="Arial" w:cs="Arial" w:eastAsia="Arial" w:hAnsi="Arial"/>
                <w:sz w:val="14"/>
                <w:szCs w:val="14"/>
                <w:b w:val="1"/>
                <w:bCs w:val="1"/>
                <w:color w:val="auto"/>
              </w:rPr>
              <w:t>ordinary shareholders of DSC Holdings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ind w:left="120"/>
              <w:spacing w:after="0"/>
              <w:rPr>
                <w:sz w:val="20"/>
                <w:szCs w:val="20"/>
                <w:color w:val="auto"/>
              </w:rPr>
            </w:pPr>
            <w:r>
              <w:rPr>
                <w:rFonts w:ascii="Arial" w:cs="Arial" w:eastAsia="Arial" w:hAnsi="Arial"/>
                <w:sz w:val="14"/>
                <w:szCs w:val="14"/>
                <w:b w:val="1"/>
                <w:bCs w:val="1"/>
                <w:color w:val="auto"/>
              </w:rPr>
              <w:t>Ltd.</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(6,604,689)</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(1,661,293)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(1,852,384)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(264,887)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F-55</w:t>
            </w: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20" w:h="16838" w:orient="portrait"/>
          <w:cols w:equalWidth="0" w:num="1">
            <w:col w:w="9038"/>
          </w:cols>
          <w:pgMar w:left="1440" w:top="230" w:right="1440" w:bottom="1440" w:gutter="0" w:footer="0" w:header="0"/>
        </w:sectPr>
      </w:pPr>
    </w:p>
    <w:bookmarkStart w:id="353" w:name="page354"/>
    <w:bookmarkEnd w:id="353"/>
    <w:p>
      <w:pPr>
        <w:ind w:left="1420"/>
        <w:spacing w:after="0"/>
        <w:rPr>
          <w:sz w:val="20"/>
          <w:szCs w:val="20"/>
          <w:color w:val="auto"/>
        </w:rPr>
      </w:pPr>
      <w:r>
        <w:rPr>
          <w:rFonts w:ascii="Arial" w:cs="Arial" w:eastAsia="Arial" w:hAnsi="Arial"/>
          <w:sz w:val="14"/>
          <w:szCs w:val="14"/>
          <w:u w:val="single" w:color="auto"/>
          <w:color w:val="0000EE"/>
        </w:rPr>
        <w:t>Table of Contents</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DSC HOLDINGS LTD.</w:t>
      </w:r>
    </w:p>
    <w:p>
      <w:pPr>
        <w:spacing w:after="0" w:line="7"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NOTES TO THE COMBINED AND CONSOLIDATED FINANCIAL STATEMENTS</w:t>
      </w:r>
    </w:p>
    <w:p>
      <w:pPr>
        <w:jc w:val="center"/>
        <w:ind w:right="-21"/>
        <w:spacing w:after="0"/>
        <w:rPr>
          <w:sz w:val="20"/>
          <w:szCs w:val="20"/>
          <w:color w:val="auto"/>
        </w:rPr>
      </w:pPr>
      <w:r>
        <w:rPr>
          <w:rFonts w:ascii="Arial" w:cs="Arial" w:eastAsia="Arial" w:hAnsi="Arial"/>
          <w:sz w:val="14"/>
          <w:szCs w:val="14"/>
          <w:b w:val="1"/>
          <w:bCs w:val="1"/>
          <w:color w:val="auto"/>
        </w:rPr>
        <w:t>(Amounts in thousands of Renminbi (“RMB”) and US dollar (“US$”))</w:t>
      </w:r>
    </w:p>
    <w:p>
      <w:pPr>
        <w:spacing w:after="0" w:line="143" w:lineRule="exact"/>
        <w:rPr>
          <w:sz w:val="20"/>
          <w:szCs w:val="20"/>
          <w:color w:val="auto"/>
        </w:rPr>
      </w:pPr>
    </w:p>
    <w:p>
      <w:pPr>
        <w:ind w:left="1660" w:right="2518" w:hanging="245"/>
        <w:spacing w:after="0" w:line="501" w:lineRule="auto"/>
        <w:tabs>
          <w:tab w:leader="none" w:pos="1642" w:val="left"/>
        </w:tabs>
        <w:numPr>
          <w:ilvl w:val="0"/>
          <w:numId w:val="17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PARENT COMPANY ONLY CONDENSED FINANCIAL INFORMATION (cont.) </w:t>
      </w:r>
      <w:r>
        <w:rPr>
          <w:rFonts w:ascii="Arial" w:cs="Arial" w:eastAsia="Arial" w:hAnsi="Arial"/>
          <w:sz w:val="14"/>
          <w:szCs w:val="14"/>
          <w:b w:val="1"/>
          <w:bCs w:val="1"/>
          <w:i w:val="1"/>
          <w:iCs w:val="1"/>
          <w:color w:val="auto"/>
        </w:rPr>
        <w:t>Condensed statements of cash flows</w:t>
      </w:r>
    </w:p>
    <w:tbl>
      <w:tblPr>
        <w:tblLayout w:type="fixed"/>
        <w:tblInd w:w="14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ind w:left="20"/>
              <w:spacing w:after="0"/>
              <w:rPr>
                <w:sz w:val="20"/>
                <w:szCs w:val="20"/>
                <w:color w:val="auto"/>
              </w:rPr>
            </w:pPr>
            <w:r>
              <w:rPr>
                <w:rFonts w:ascii="Arial" w:cs="Arial" w:eastAsia="Arial" w:hAnsi="Arial"/>
                <w:sz w:val="11"/>
                <w:szCs w:val="11"/>
                <w:b w:val="1"/>
                <w:bCs w:val="1"/>
                <w:color w:val="auto"/>
              </w:rPr>
              <w:t>For the years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RMB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RMB</w:t>
            </w:r>
          </w:p>
        </w:tc>
        <w:tc>
          <w:tcPr>
            <w:tcW w:w="80" w:type="dxa"/>
            <w:vAlign w:val="bottom"/>
          </w:tcPr>
          <w:p>
            <w:pPr>
              <w:spacing w:after="0"/>
              <w:rPr>
                <w:sz w:val="17"/>
                <w:szCs w:val="17"/>
                <w:color w:val="auto"/>
              </w:rPr>
            </w:pPr>
          </w:p>
        </w:tc>
        <w:tc>
          <w:tcPr>
            <w:tcW w:w="980" w:type="dxa"/>
            <w:vAlign w:val="bottom"/>
            <w:gridSpan w:val="4"/>
          </w:tcPr>
          <w:p>
            <w:pPr>
              <w:ind w:left="240"/>
              <w:spacing w:after="0"/>
              <w:rPr>
                <w:sz w:val="20"/>
                <w:szCs w:val="20"/>
                <w:color w:val="auto"/>
              </w:rPr>
            </w:pPr>
            <w:r>
              <w:rPr>
                <w:rFonts w:ascii="Arial" w:cs="Arial" w:eastAsia="Arial" w:hAnsi="Arial"/>
                <w:sz w:val="11"/>
                <w:szCs w:val="11"/>
                <w:b w:val="1"/>
                <w:bCs w:val="1"/>
                <w:color w:val="auto"/>
              </w:rPr>
              <w:t>RMB</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(178,364)</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(154,806)</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(95,050)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(13,592)</w:t>
            </w: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rPr>
                <w:sz w:val="20"/>
                <w:szCs w:val="20"/>
                <w:color w:val="auto"/>
              </w:rPr>
            </w:pPr>
            <w:r>
              <w:rPr>
                <w:rFonts w:ascii="Arial" w:cs="Arial" w:eastAsia="Arial" w:hAnsi="Arial"/>
                <w:sz w:val="14"/>
                <w:szCs w:val="14"/>
                <w:color w:val="auto"/>
              </w:rPr>
              <w:t>Share of losses in subsidiaries</w:t>
            </w:r>
          </w:p>
        </w:tc>
        <w:tc>
          <w:tcPr>
            <w:tcW w:w="620" w:type="dxa"/>
            <w:vAlign w:val="bottom"/>
          </w:tcPr>
          <w:p>
            <w:pPr>
              <w:jc w:val="right"/>
              <w:spacing w:after="0"/>
              <w:rPr>
                <w:sz w:val="20"/>
                <w:szCs w:val="20"/>
                <w:color w:val="auto"/>
              </w:rPr>
            </w:pPr>
            <w:r>
              <w:rPr>
                <w:rFonts w:ascii="Arial" w:cs="Arial" w:eastAsia="Arial" w:hAnsi="Arial"/>
                <w:sz w:val="14"/>
                <w:szCs w:val="14"/>
                <w:color w:val="auto"/>
              </w:rPr>
              <w:t>150,081</w:t>
            </w:r>
          </w:p>
        </w:tc>
        <w:tc>
          <w:tcPr>
            <w:tcW w:w="8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color w:val="auto"/>
              </w:rPr>
              <w:t>157,723</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70,169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10,033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Share of losses (gain) in the VIEs and their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subsidiaries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30,754</w:t>
            </w:r>
          </w:p>
        </w:tc>
        <w:tc>
          <w:tcPr>
            <w:tcW w:w="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(3,990)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25,475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212"/>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(668)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60" w:type="dxa"/>
            <w:vAlign w:val="bottom"/>
          </w:tcPr>
          <w:p>
            <w:pPr>
              <w:spacing w:after="0" w:line="137" w:lineRule="exact"/>
              <w:rPr>
                <w:sz w:val="20"/>
                <w:szCs w:val="20"/>
                <w:color w:val="auto"/>
              </w:rPr>
            </w:pPr>
            <w:r>
              <w:rPr>
                <w:rFonts w:ascii="Arial" w:cs="Arial" w:eastAsia="Arial" w:hAnsi="Arial"/>
                <w:sz w:val="14"/>
                <w:szCs w:val="14"/>
                <w:color w:val="auto"/>
              </w:rPr>
              <w:t>Accrued expenses and other current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liabilities</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4"/>
                <w:szCs w:val="14"/>
                <w:color w:val="auto"/>
              </w:rPr>
              <w:t>277</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60" w:type="dxa"/>
            <w:vAlign w:val="bottom"/>
          </w:tcPr>
          <w:p>
            <w:pPr>
              <w:spacing w:after="0" w:line="137" w:lineRule="exact"/>
              <w:rPr>
                <w:sz w:val="20"/>
                <w:szCs w:val="20"/>
                <w:color w:val="auto"/>
              </w:rPr>
            </w:pPr>
            <w:r>
              <w:rPr>
                <w:rFonts w:ascii="Arial" w:cs="Arial" w:eastAsia="Arial" w:hAnsi="Arial"/>
                <w:sz w:val="14"/>
                <w:szCs w:val="14"/>
                <w:b w:val="1"/>
                <w:bCs w:val="1"/>
                <w:color w:val="auto"/>
              </w:rPr>
              <w:t>Net cash provided by (used in) operating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tcPr>
          <w:p>
            <w:pPr>
              <w:ind w:left="120"/>
              <w:spacing w:after="0"/>
              <w:rPr>
                <w:sz w:val="20"/>
                <w:szCs w:val="20"/>
                <w:color w:val="auto"/>
              </w:rPr>
            </w:pPr>
            <w:r>
              <w:rPr>
                <w:rFonts w:ascii="Arial" w:cs="Arial" w:eastAsia="Arial" w:hAnsi="Arial"/>
                <w:sz w:val="14"/>
                <w:szCs w:val="14"/>
                <w:b w:val="1"/>
                <w:bCs w:val="1"/>
                <w:color w:val="auto"/>
              </w:rPr>
              <w:t>activities</w:t>
            </w:r>
          </w:p>
        </w:tc>
        <w:tc>
          <w:tcPr>
            <w:tcW w:w="620" w:type="dxa"/>
            <w:vAlign w:val="bottom"/>
          </w:tcPr>
          <w:p>
            <w:pPr>
              <w:jc w:val="right"/>
              <w:spacing w:after="0"/>
              <w:rPr>
                <w:sz w:val="20"/>
                <w:szCs w:val="20"/>
                <w:color w:val="auto"/>
              </w:rPr>
            </w:pPr>
            <w:r>
              <w:rPr>
                <w:rFonts w:ascii="Arial" w:cs="Arial" w:eastAsia="Arial" w:hAnsi="Arial"/>
                <w:sz w:val="14"/>
                <w:szCs w:val="14"/>
                <w:color w:val="auto"/>
              </w:rPr>
              <w:t>2,071</w:t>
            </w:r>
          </w:p>
        </w:tc>
        <w:tc>
          <w:tcPr>
            <w:tcW w:w="80" w:type="dxa"/>
            <w:vAlign w:val="bottom"/>
          </w:tcPr>
          <w:p>
            <w:pPr>
              <w:spacing w:after="0"/>
              <w:rPr>
                <w:sz w:val="17"/>
                <w:szCs w:val="17"/>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(1,464)</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572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(3,976)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60" w:type="dxa"/>
            <w:vAlign w:val="bottom"/>
          </w:tcPr>
          <w:p>
            <w:pPr>
              <w:spacing w:after="0" w:line="137" w:lineRule="exact"/>
              <w:rPr>
                <w:sz w:val="20"/>
                <w:szCs w:val="20"/>
                <w:color w:val="auto"/>
              </w:rPr>
            </w:pPr>
            <w:r>
              <w:rPr>
                <w:rFonts w:ascii="Arial" w:cs="Arial" w:eastAsia="Arial" w:hAnsi="Arial"/>
                <w:sz w:val="14"/>
                <w:szCs w:val="14"/>
                <w:b w:val="1"/>
                <w:bCs w:val="1"/>
                <w:color w:val="auto"/>
              </w:rPr>
              <w:t>Net cash provided by (used in) financing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60" w:type="dxa"/>
            <w:vAlign w:val="bottom"/>
          </w:tcPr>
          <w:p>
            <w:pPr>
              <w:ind w:left="120"/>
              <w:spacing w:after="0"/>
              <w:rPr>
                <w:sz w:val="20"/>
                <w:szCs w:val="20"/>
                <w:color w:val="auto"/>
              </w:rPr>
            </w:pPr>
            <w:r>
              <w:rPr>
                <w:rFonts w:ascii="Arial" w:cs="Arial" w:eastAsia="Arial" w:hAnsi="Arial"/>
                <w:sz w:val="14"/>
                <w:szCs w:val="14"/>
                <w:b w:val="1"/>
                <w:bCs w:val="1"/>
                <w:color w:val="auto"/>
              </w:rPr>
              <w:t>activities</w:t>
            </w:r>
          </w:p>
        </w:tc>
        <w:tc>
          <w:tcPr>
            <w:tcW w:w="620" w:type="dxa"/>
            <w:vAlign w:val="bottom"/>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color w:val="auto"/>
              </w:rPr>
              <w:t>4,706</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(1,395)</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679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(1,125)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w:t>
            </w: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8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50,626</w:t>
            </w:r>
          </w:p>
        </w:tc>
        <w:tc>
          <w:tcPr>
            <w:tcW w:w="8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(4,633)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Cash at the beginning of the year</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50,626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54,547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7,801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at the end of the year</w:t>
            </w: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50,626</w:t>
            </w:r>
          </w:p>
        </w:tc>
        <w:tc>
          <w:tcPr>
            <w:tcW w:w="8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54,547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49,914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(a) Basis of presentation</w:t>
      </w:r>
    </w:p>
    <w:p>
      <w:pPr>
        <w:spacing w:after="0" w:line="109" w:lineRule="exact"/>
        <w:rPr>
          <w:sz w:val="20"/>
          <w:szCs w:val="20"/>
          <w:color w:val="auto"/>
        </w:rPr>
      </w:pPr>
    </w:p>
    <w:p>
      <w:pPr>
        <w:jc w:val="both"/>
        <w:ind w:left="1420" w:right="1398" w:firstLine="249"/>
        <w:spacing w:after="0" w:line="241" w:lineRule="auto"/>
        <w:rPr>
          <w:sz w:val="20"/>
          <w:szCs w:val="20"/>
          <w:color w:val="auto"/>
        </w:rPr>
      </w:pPr>
      <w:r>
        <w:rPr>
          <w:rFonts w:ascii="Arial" w:cs="Arial" w:eastAsia="Arial" w:hAnsi="Arial"/>
          <w:sz w:val="14"/>
          <w:szCs w:val="14"/>
          <w:color w:val="auto"/>
        </w:rPr>
        <w:t>Condensed financial information is used for the presentation of the Company, or the parent company. The condensed financial information of the parent company has been prepared using the same accounting policies as set out in the Company’s combined and consolidated financial statements except that the parent company used the equity method to account for investment in its subsidiaries, the VIEs and VIEs’ subsidiaries.</w:t>
      </w:r>
    </w:p>
    <w:p>
      <w:pPr>
        <w:spacing w:after="0" w:line="84" w:lineRule="exact"/>
        <w:rPr>
          <w:sz w:val="20"/>
          <w:szCs w:val="20"/>
          <w:color w:val="auto"/>
        </w:rPr>
      </w:pPr>
    </w:p>
    <w:p>
      <w:pPr>
        <w:jc w:val="both"/>
        <w:ind w:left="1420" w:right="1398" w:firstLine="249"/>
        <w:spacing w:after="0" w:line="239" w:lineRule="auto"/>
        <w:rPr>
          <w:sz w:val="20"/>
          <w:szCs w:val="20"/>
          <w:color w:val="auto"/>
        </w:rPr>
      </w:pPr>
      <w:r>
        <w:rPr>
          <w:rFonts w:ascii="Arial" w:cs="Arial" w:eastAsia="Arial" w:hAnsi="Arial"/>
          <w:sz w:val="14"/>
          <w:szCs w:val="14"/>
          <w:color w:val="auto"/>
        </w:rPr>
        <w:t xml:space="preserve">The Company records its investments in subsidiaries, the VIEs and VIEs’ subsidiaries under the equity method of accounting as prescribed in </w:t>
      </w:r>
      <w:r>
        <w:rPr>
          <w:rFonts w:ascii="Arial" w:cs="Arial" w:eastAsia="Arial" w:hAnsi="Arial"/>
          <w:sz w:val="14"/>
          <w:szCs w:val="14"/>
          <w:i w:val="1"/>
          <w:iCs w:val="1"/>
          <w:color w:val="auto"/>
        </w:rPr>
        <w:t>ASC 323-10 Investment-Equity Method and Joint</w:t>
      </w:r>
      <w:r>
        <w:rPr>
          <w:rFonts w:ascii="Arial" w:cs="Arial" w:eastAsia="Arial" w:hAnsi="Arial"/>
          <w:sz w:val="14"/>
          <w:szCs w:val="14"/>
          <w:color w:val="auto"/>
        </w:rPr>
        <w:t xml:space="preserve"> </w:t>
      </w:r>
      <w:r>
        <w:rPr>
          <w:rFonts w:ascii="Arial" w:cs="Arial" w:eastAsia="Arial" w:hAnsi="Arial"/>
          <w:sz w:val="14"/>
          <w:szCs w:val="14"/>
          <w:i w:val="1"/>
          <w:iCs w:val="1"/>
          <w:color w:val="auto"/>
        </w:rPr>
        <w:t>Ventures</w:t>
      </w:r>
      <w:r>
        <w:rPr>
          <w:rFonts w:ascii="Arial" w:cs="Arial" w:eastAsia="Arial" w:hAnsi="Arial"/>
          <w:sz w:val="14"/>
          <w:szCs w:val="14"/>
          <w:color w:val="auto"/>
        </w:rPr>
        <w:t>, which are presented on the condensed balance sheets as “Investment in subsidiaries” and</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in the VIEs and their subsidiaries,” respectively, and corresponding share of losses as “Share of losses in subsidiaries” and “Share of losses in the VIEs and their subsidiaries” on the condensed statements of comprehensive loss.</w:t>
      </w:r>
    </w:p>
    <w:p>
      <w:pPr>
        <w:spacing w:after="0" w:line="76" w:lineRule="exact"/>
        <w:rPr>
          <w:sz w:val="20"/>
          <w:szCs w:val="20"/>
          <w:color w:val="auto"/>
        </w:rPr>
      </w:pPr>
    </w:p>
    <w:p>
      <w:pPr>
        <w:jc w:val="both"/>
        <w:ind w:left="1420" w:right="1398" w:firstLine="249"/>
        <w:spacing w:after="0" w:line="245" w:lineRule="auto"/>
        <w:rPr>
          <w:sz w:val="20"/>
          <w:szCs w:val="20"/>
          <w:color w:val="auto"/>
        </w:rPr>
      </w:pPr>
      <w:r>
        <w:rPr>
          <w:rFonts w:ascii="Arial" w:cs="Arial" w:eastAsia="Arial" w:hAnsi="Arial"/>
          <w:sz w:val="14"/>
          <w:szCs w:val="14"/>
          <w:color w:val="auto"/>
        </w:rPr>
        <w:t>Certain information and footnote disclosures normally included in financial statements prepared in accordance with U.S. GAAP have been condensed or omitted and as such, these Company-only financial statements should be read in conjunction with the Group’s combined and consolidated financial statements.</w:t>
      </w:r>
    </w:p>
    <w:p>
      <w:pPr>
        <w:spacing w:after="0" w:line="11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8255</wp:posOffset>
            </wp:positionV>
            <wp:extent cx="395351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53510" cy="6350"/>
                    </a:xfrm>
                    <a:prstGeom prst="rect">
                      <a:avLst/>
                    </a:prstGeom>
                    <a:noFill/>
                  </pic:spPr>
                </pic:pic>
              </a:graphicData>
            </a:graphic>
          </wp:anchor>
        </w:drawing>
      </w:r>
    </w:p>
    <w:sectPr>
      <w:pgSz w:w="11920" w:h="16838" w:orient="portrait"/>
      <w:cols w:equalWidth="0" w:num="1">
        <w:col w:w="9038"/>
      </w:cols>
      <w:pgMar w:left="1440" w:top="2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emdash "/>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1)"/>
      <w:numFmt w:val="lowerRoman"/>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1)"/>
      <w:numFmt w:val="decimal"/>
      <w:start w:val="2"/>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1)"/>
      <w:numFmt w:val="lowerRoman"/>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1)"/>
      <w:numFmt w:val="lowerRoman"/>
      <w:start w:val="1"/>
    </w:lvl>
  </w:abstractNum>
  <w:abstractNum w:abstractNumId="43">
    <w:nsid w:val="415E286C"/>
    <w:multiLevelType w:val="hybridMultilevel"/>
    <w:lvl w:ilvl="0">
      <w:lvlJc w:val="left"/>
      <w:lvlText w:val="(%1)"/>
      <w:numFmt w:val="lowerRoman"/>
      <w:start w:val="2"/>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1)"/>
      <w:numFmt w:val="lowerRoman"/>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
      <w:numFmt w:val="bullet"/>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
      <w:numFmt w:val="bullet"/>
      <w:start w:val="1"/>
    </w:lvl>
    <w:lvl w:ilvl="1">
      <w:lvlJc w:val="left"/>
      <w:lvlText w:val="(%2)"/>
      <w:numFmt w:val="lowerRoman"/>
      <w:start w:val="5"/>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
      <w:numFmt w:val="bullet"/>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1)"/>
      <w:numFmt w:val="lowerLetter"/>
      <w:start w:val="4"/>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1)"/>
      <w:numFmt w:val="decimal"/>
      <w:start w:val="2"/>
    </w:lvl>
  </w:abstractNum>
  <w:abstractNum w:abstractNumId="58">
    <w:nsid w:val="4C9B0904"/>
    <w:multiLevelType w:val="hybridMultilevel"/>
    <w:lvl w:ilvl="0">
      <w:lvlJc w:val="left"/>
      <w:lvlText w:val="•"/>
      <w:numFmt w:val="bullet"/>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1)"/>
      <w:numFmt w:val="lowerRoman"/>
      <w:start w:val="2"/>
    </w:lvl>
  </w:abstractNum>
  <w:abstractNum w:abstractNumId="67">
    <w:nsid w:val="4F97E3E4"/>
    <w:multiLevelType w:val="hybridMultilevel"/>
    <w:lvl w:ilvl="0">
      <w:lvlJc w:val="left"/>
      <w:lvlText w:val="(%1)"/>
      <w:numFmt w:val="lowerRoman"/>
      <w:start w:val="1"/>
    </w:lvl>
  </w:abstractNum>
  <w:abstractNum w:abstractNumId="68">
    <w:nsid w:val="53B0A9E"/>
    <w:multiLevelType w:val="hybridMultilevel"/>
    <w:lvl w:ilvl="0">
      <w:lvlJc w:val="left"/>
      <w:lvlText w:val="(%1)"/>
      <w:numFmt w:val="lowerRoman"/>
      <w:start w:val="1"/>
    </w:lvl>
  </w:abstractNum>
  <w:abstractNum w:abstractNumId="69">
    <w:nsid w:val="34FD6B4F"/>
    <w:multiLevelType w:val="hybridMultilevel"/>
    <w:lvl w:ilvl="0">
      <w:lvlJc w:val="left"/>
      <w:lvlText w:val="(%1)"/>
      <w:numFmt w:val="lowerRoman"/>
      <w:start w:val="4"/>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
      <w:numFmt w:val="bullet"/>
      <w:start w:val="1"/>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
      <w:numFmt w:val="bullet"/>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
      <w:numFmt w:val="bullet"/>
      <w:start w:val="1"/>
    </w:lvl>
  </w:abstractNum>
  <w:abstractNum w:abstractNumId="84">
    <w:nsid w:val="20EE1348"/>
    <w:multiLevelType w:val="hybridMultilevel"/>
    <w:lvl w:ilvl="0">
      <w:lvlJc w:val="left"/>
      <w:lvlText w:val="•"/>
      <w:numFmt w:val="bullet"/>
      <w:start w:val="1"/>
    </w:lvl>
  </w:abstractNum>
  <w:abstractNum w:abstractNumId="85">
    <w:nsid w:val="4427069A"/>
    <w:multiLevelType w:val="hybridMultilevel"/>
    <w:lvl w:ilvl="0">
      <w:lvlJc w:val="left"/>
      <w:lvlText w:val="•"/>
      <w:numFmt w:val="bullet"/>
      <w:start w:val="1"/>
    </w:lvl>
  </w:abstractNum>
  <w:abstractNum w:abstractNumId="86">
    <w:nsid w:val="B37E80A"/>
    <w:multiLevelType w:val="hybridMultilevel"/>
    <w:lvl w:ilvl="0">
      <w:lvlJc w:val="left"/>
      <w:lvlText w:val="•"/>
      <w:numFmt w:val="bullet"/>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
      <w:numFmt w:val="bullet"/>
      <w:start w:val="1"/>
    </w:lvl>
  </w:abstractNum>
  <w:abstractNum w:abstractNumId="89">
    <w:nsid w:val="57D2F10E"/>
    <w:multiLevelType w:val="hybridMultilevel"/>
    <w:lvl w:ilvl="0">
      <w:lvlJc w:val="left"/>
      <w:lvlText w:val="•"/>
      <w:numFmt w:val="bullet"/>
      <w:start w:val="1"/>
    </w:lvl>
  </w:abstractNum>
  <w:abstractNum w:abstractNumId="90">
    <w:nsid w:val="BFFAE18"/>
    <w:multiLevelType w:val="hybridMultilevel"/>
    <w:lvl w:ilvl="0">
      <w:lvlJc w:val="left"/>
      <w:lvlText w:val="(%1)"/>
      <w:numFmt w:val="lowerRoman"/>
      <w:start w:val="1"/>
    </w:lvl>
  </w:abstractNum>
  <w:abstractNum w:abstractNumId="91">
    <w:nsid w:val="E3E47A8"/>
    <w:multiLevelType w:val="hybridMultilevel"/>
    <w:lvl w:ilvl="0">
      <w:lvlJc w:val="left"/>
      <w:lvlText w:val="•"/>
      <w:numFmt w:val="bullet"/>
      <w:start w:val="1"/>
    </w:lvl>
  </w:abstractNum>
  <w:abstractNum w:abstractNumId="92">
    <w:nsid w:val="2E48F044"/>
    <w:multiLevelType w:val="hybridMultilevel"/>
    <w:lvl w:ilvl="0">
      <w:lvlJc w:val="left"/>
      <w:lvlText w:val="•"/>
      <w:numFmt w:val="bullet"/>
      <w:start w:val="1"/>
    </w:lvl>
  </w:abstractNum>
  <w:abstractNum w:abstractNumId="93">
    <w:nsid w:val="49D0FEAC"/>
    <w:multiLevelType w:val="hybridMultilevel"/>
    <w:lvl w:ilvl="0">
      <w:lvlJc w:val="left"/>
      <w:lvlText w:val="•"/>
      <w:numFmt w:val="bullet"/>
      <w:start w:val="1"/>
    </w:lvl>
  </w:abstractNum>
  <w:abstractNum w:abstractNumId="94">
    <w:nsid w:val="4BEE5A5B"/>
    <w:multiLevelType w:val="hybridMultilevel"/>
    <w:lvl w:ilvl="0">
      <w:lvlJc w:val="left"/>
      <w:lvlText w:val="•"/>
      <w:numFmt w:val="bullet"/>
      <w:start w:val="1"/>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
      <w:numFmt w:val="bullet"/>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
      <w:numFmt w:val="bullet"/>
      <w:start w:val="1"/>
    </w:lvl>
  </w:abstractNum>
  <w:abstractNum w:abstractNumId="100">
    <w:nsid w:val="1849C29B"/>
    <w:multiLevelType w:val="hybridMultilevel"/>
    <w:lvl w:ilvl="0">
      <w:lvlJc w:val="left"/>
      <w:lvlText w:val="•"/>
      <w:numFmt w:val="bullet"/>
      <w:start w:val="1"/>
    </w:lvl>
  </w:abstractNum>
  <w:abstractNum w:abstractNumId="101">
    <w:nsid w:val="7DFF9D09"/>
    <w:multiLevelType w:val="hybridMultilevel"/>
    <w:lvl w:ilvl="0">
      <w:lvlJc w:val="left"/>
      <w:lvlText w:val="•"/>
      <w:numFmt w:val="bullet"/>
      <w:start w:val="1"/>
    </w:lvl>
  </w:abstractNum>
  <w:abstractNum w:abstractNumId="102">
    <w:nsid w:val="754342"/>
    <w:multiLevelType w:val="hybridMultilevel"/>
    <w:lvl w:ilvl="0">
      <w:lvlJc w:val="left"/>
      <w:lvlText w:val="•"/>
      <w:numFmt w:val="bullet"/>
      <w:start w:val="1"/>
    </w:lvl>
  </w:abstractNum>
  <w:abstractNum w:abstractNumId="103">
    <w:nsid w:val="69E7F3E5"/>
    <w:multiLevelType w:val="hybridMultilevel"/>
    <w:lvl w:ilvl="0">
      <w:lvlJc w:val="left"/>
      <w:lvlText w:val="•"/>
      <w:numFmt w:val="bullet"/>
      <w:start w:val="1"/>
    </w:lvl>
  </w:abstractNum>
  <w:abstractNum w:abstractNumId="104">
    <w:nsid w:val="2A6DE806"/>
    <w:multiLevelType w:val="hybridMultilevel"/>
    <w:lvl w:ilvl="0">
      <w:lvlJc w:val="left"/>
      <w:lvlText w:val="(%1)"/>
      <w:numFmt w:val="lowerRoman"/>
      <w:start w:val="1"/>
    </w:lvl>
  </w:abstractNum>
  <w:abstractNum w:abstractNumId="105">
    <w:nsid w:val="1816F8C4"/>
    <w:multiLevelType w:val="hybridMultilevel"/>
    <w:lvl w:ilvl="0">
      <w:lvlJc w:val="left"/>
      <w:lvlText w:val="(%1)"/>
      <w:numFmt w:val="lowerRoman"/>
      <w:start w:val="2"/>
    </w:lvl>
  </w:abstractNum>
  <w:abstractNum w:abstractNumId="106">
    <w:nsid w:val="37DF2233"/>
    <w:multiLevelType w:val="hybridMultilevel"/>
    <w:lvl w:ilvl="0">
      <w:lvlJc w:val="left"/>
      <w:lvlText w:val="(%1)"/>
      <w:numFmt w:val="decimal"/>
      <w:start w:val="1"/>
    </w:lvl>
  </w:abstractNum>
  <w:abstractNum w:abstractNumId="107">
    <w:nsid w:val="7AB49DAF"/>
    <w:multiLevelType w:val="hybridMultilevel"/>
    <w:lvl w:ilvl="0">
      <w:lvlJc w:val="left"/>
      <w:lvlText w:val="(%1)"/>
      <w:numFmt w:val="lowerRoman"/>
      <w:start w:val="1"/>
    </w:lvl>
  </w:abstractNum>
  <w:abstractNum w:abstractNumId="108">
    <w:nsid w:val="759F82CD"/>
    <w:multiLevelType w:val="hybridMultilevel"/>
    <w:lvl w:ilvl="0">
      <w:lvlJc w:val="left"/>
      <w:lvlText w:val="(%1)"/>
      <w:numFmt w:val="lowerRoman"/>
      <w:start w:val="3"/>
    </w:lvl>
  </w:abstractNum>
  <w:abstractNum w:abstractNumId="109">
    <w:nsid w:val="61E74EA3"/>
    <w:multiLevelType w:val="hybridMultilevel"/>
    <w:lvl w:ilvl="0">
      <w:lvlJc w:val="left"/>
      <w:lvlText w:val="(%1)"/>
      <w:numFmt w:val="lowerRoman"/>
      <w:start w:val="3"/>
    </w:lvl>
  </w:abstractNum>
  <w:abstractNum w:abstractNumId="110">
    <w:nsid w:val="597B4D84"/>
    <w:multiLevelType w:val="hybridMultilevel"/>
    <w:lvl w:ilvl="0">
      <w:lvlJc w:val="left"/>
      <w:lvlText w:val="(%1)"/>
      <w:numFmt w:val="lowerRoman"/>
      <w:start w:val="3"/>
    </w:lvl>
  </w:abstractNum>
  <w:abstractNum w:abstractNumId="111">
    <w:nsid w:val="F819E7F"/>
    <w:multiLevelType w:val="hybridMultilevel"/>
    <w:lvl w:ilvl="0">
      <w:lvlJc w:val="left"/>
      <w:lvlText w:val="•"/>
      <w:numFmt w:val="bullet"/>
      <w:start w:val="1"/>
    </w:lvl>
  </w:abstractNum>
  <w:abstractNum w:abstractNumId="112">
    <w:nsid w:val="57C7D42D"/>
    <w:multiLevelType w:val="hybridMultilevel"/>
    <w:lvl w:ilvl="0">
      <w:lvlJc w:val="left"/>
      <w:lvlText w:val="•"/>
      <w:numFmt w:val="bullet"/>
      <w:start w:val="1"/>
    </w:lvl>
  </w:abstractNum>
  <w:abstractNum w:abstractNumId="113">
    <w:nsid w:val="312167AD"/>
    <w:multiLevelType w:val="hybridMultilevel"/>
    <w:lvl w:ilvl="0">
      <w:lvlJc w:val="left"/>
      <w:lvlText w:val="•"/>
      <w:numFmt w:val="bullet"/>
      <w:start w:val="1"/>
    </w:lvl>
  </w:abstractNum>
  <w:abstractNum w:abstractNumId="114">
    <w:nsid w:val="631B64D4"/>
    <w:multiLevelType w:val="hybridMultilevel"/>
    <w:lvl w:ilvl="0">
      <w:lvlJc w:val="left"/>
      <w:lvlText w:val="•"/>
      <w:numFmt w:val="bullet"/>
      <w:start w:val="1"/>
    </w:lvl>
  </w:abstractNum>
  <w:abstractNum w:abstractNumId="115">
    <w:nsid w:val="78B5E776"/>
    <w:multiLevelType w:val="hybridMultilevel"/>
    <w:lvl w:ilvl="0">
      <w:lvlJc w:val="left"/>
      <w:lvlText w:val="•"/>
      <w:numFmt w:val="bullet"/>
      <w:start w:val="1"/>
    </w:lvl>
  </w:abstractNum>
  <w:abstractNum w:abstractNumId="116">
    <w:nsid w:val="75486E47"/>
    <w:multiLevelType w:val="hybridMultilevel"/>
    <w:lvl w:ilvl="0">
      <w:lvlJc w:val="left"/>
      <w:lvlText w:val="(%1)"/>
      <w:numFmt w:val="lowerRoman"/>
      <w:start w:val="5"/>
    </w:lvl>
  </w:abstractNum>
  <w:abstractNum w:abstractNumId="117">
    <w:nsid w:val="6E534CDE"/>
    <w:multiLevelType w:val="hybridMultilevel"/>
    <w:lvl w:ilvl="0">
      <w:lvlJc w:val="left"/>
      <w:lvlText w:val="•"/>
      <w:numFmt w:val="bullet"/>
      <w:start w:val="1"/>
    </w:lvl>
  </w:abstractNum>
  <w:abstractNum w:abstractNumId="118">
    <w:nsid w:val="1A0DDE32"/>
    <w:multiLevelType w:val="hybridMultilevel"/>
    <w:lvl w:ilvl="0">
      <w:lvlJc w:val="left"/>
      <w:lvlText w:val="*"/>
      <w:numFmt w:val="bullet"/>
      <w:start w:val="1"/>
    </w:lvl>
  </w:abstractNum>
  <w:abstractNum w:abstractNumId="119">
    <w:nsid w:val="65968C1C"/>
    <w:multiLevelType w:val="hybridMultilevel"/>
    <w:lvl w:ilvl="0">
      <w:lvlJc w:val="left"/>
      <w:lvlText w:val="**"/>
      <w:numFmt w:val="bullet"/>
      <w:start w:val="1"/>
    </w:lvl>
  </w:abstractNum>
  <w:abstractNum w:abstractNumId="120">
    <w:nsid w:val="46263DEC"/>
    <w:multiLevelType w:val="hybridMultilevel"/>
    <w:lvl w:ilvl="0">
      <w:lvlJc w:val="left"/>
      <w:lvlText w:val="†"/>
      <w:numFmt w:val="bullet"/>
      <w:start w:val="1"/>
    </w:lvl>
  </w:abstractNum>
  <w:abstractNum w:abstractNumId="121">
    <w:nsid w:val="260D8C4A"/>
    <w:multiLevelType w:val="hybridMultilevel"/>
    <w:lvl w:ilvl="0">
      <w:lvlJc w:val="left"/>
      <w:lvlText w:val="(%1)"/>
      <w:numFmt w:val="decimal"/>
      <w:start w:val="1"/>
    </w:lvl>
  </w:abstractNum>
  <w:abstractNum w:abstractNumId="122">
    <w:nsid w:val="73D4D3C4"/>
    <w:multiLevelType w:val="hybridMultilevel"/>
    <w:lvl w:ilvl="0">
      <w:lvlJc w:val="left"/>
      <w:lvlText w:val="(%1)"/>
      <w:numFmt w:val="decimal"/>
      <w:start w:val="2"/>
    </w:lvl>
    <w:lvl w:ilvl="1">
      <w:lvlJc w:val="left"/>
      <w:lvlText w:val="(%2)"/>
      <w:numFmt w:val="lowerRoman"/>
      <w:start w:val="4"/>
    </w:lvl>
  </w:abstractNum>
  <w:abstractNum w:abstractNumId="123">
    <w:nsid w:val="746F2E30"/>
    <w:multiLevelType w:val="hybridMultilevel"/>
    <w:lvl w:ilvl="0">
      <w:lvlJc w:val="left"/>
      <w:lvlText w:val="%1"/>
      <w:numFmt w:val="decimal"/>
      <w:start w:val="1"/>
    </w:lvl>
    <w:lvl w:ilvl="1">
      <w:lvlJc w:val="left"/>
      <w:lvlText w:val="(%2)"/>
      <w:numFmt w:val="lowerRoman"/>
      <w:start w:val="5"/>
    </w:lvl>
  </w:abstractNum>
  <w:abstractNum w:abstractNumId="124">
    <w:nsid w:val="6FDE8AF6"/>
    <w:multiLevelType w:val="hybridMultilevel"/>
    <w:lvl w:ilvl="0">
      <w:lvlJc w:val="left"/>
      <w:lvlText w:val="(%1)"/>
      <w:numFmt w:val="decimal"/>
      <w:start w:val="1"/>
    </w:lvl>
  </w:abstractNum>
  <w:abstractNum w:abstractNumId="125">
    <w:nsid w:val="3FC32E20"/>
    <w:multiLevelType w:val="hybridMultilevel"/>
    <w:lvl w:ilvl="0">
      <w:lvlJc w:val="left"/>
      <w:lvlText w:val="(%1)"/>
      <w:numFmt w:val="decimal"/>
      <w:start w:val="3"/>
    </w:lvl>
  </w:abstractNum>
  <w:abstractNum w:abstractNumId="126">
    <w:nsid w:val="49C0E823"/>
    <w:multiLevelType w:val="hybridMultilevel"/>
    <w:lvl w:ilvl="0">
      <w:lvlJc w:val="left"/>
      <w:lvlText w:val="(%1)"/>
      <w:numFmt w:val="lowerRoman"/>
      <w:start w:val="1"/>
    </w:lvl>
  </w:abstractNum>
  <w:abstractNum w:abstractNumId="127">
    <w:nsid w:val="14D53685"/>
    <w:multiLevelType w:val="hybridMultilevel"/>
    <w:lvl w:ilvl="0">
      <w:lvlJc w:val="left"/>
      <w:lvlText w:val="(%1)"/>
      <w:numFmt w:val="lowerRoman"/>
      <w:start w:val="11"/>
    </w:lvl>
  </w:abstractNum>
  <w:abstractNum w:abstractNumId="128">
    <w:nsid w:val="230F856C"/>
    <w:multiLevelType w:val="hybridMultilevel"/>
    <w:lvl w:ilvl="0">
      <w:lvlJc w:val="left"/>
      <w:lvlText w:val="•"/>
      <w:numFmt w:val="bullet"/>
      <w:start w:val="1"/>
    </w:lvl>
  </w:abstractNum>
  <w:abstractNum w:abstractNumId="129">
    <w:nsid w:val="6EAA85FB"/>
    <w:multiLevelType w:val="hybridMultilevel"/>
    <w:lvl w:ilvl="0">
      <w:lvlJc w:val="left"/>
      <w:lvlText w:val="•"/>
      <w:numFmt w:val="bullet"/>
      <w:start w:val="1"/>
    </w:lvl>
  </w:abstractNum>
  <w:abstractNum w:abstractNumId="130">
    <w:nsid w:val="3F06ECB2"/>
    <w:multiLevelType w:val="hybridMultilevel"/>
    <w:lvl w:ilvl="0">
      <w:lvlJc w:val="left"/>
      <w:lvlText w:val="•"/>
      <w:numFmt w:val="bullet"/>
      <w:start w:val="1"/>
    </w:lvl>
  </w:abstractNum>
  <w:abstractNum w:abstractNumId="131">
    <w:nsid w:val="3B594807"/>
    <w:multiLevelType w:val="hybridMultilevel"/>
    <w:lvl w:ilvl="0">
      <w:lvlJc w:val="left"/>
      <w:lvlText w:val="•"/>
      <w:numFmt w:val="bullet"/>
      <w:start w:val="1"/>
    </w:lvl>
  </w:abstractNum>
  <w:abstractNum w:abstractNumId="132">
    <w:nsid w:val="6CAA2304"/>
    <w:multiLevelType w:val="hybridMultilevel"/>
    <w:lvl w:ilvl="0">
      <w:lvlJc w:val="left"/>
      <w:lvlText w:val="•"/>
      <w:numFmt w:val="bullet"/>
      <w:start w:val="1"/>
    </w:lvl>
  </w:abstractNum>
  <w:abstractNum w:abstractNumId="133">
    <w:nsid w:val="3F7C2FF4"/>
    <w:multiLevelType w:val="hybridMultilevel"/>
    <w:lvl w:ilvl="0">
      <w:lvlJc w:val="left"/>
      <w:lvlText w:val="•"/>
      <w:numFmt w:val="bullet"/>
      <w:start w:val="1"/>
    </w:lvl>
  </w:abstractNum>
  <w:abstractNum w:abstractNumId="134">
    <w:nsid w:val="25413BEC"/>
    <w:multiLevelType w:val="hybridMultilevel"/>
    <w:lvl w:ilvl="0">
      <w:lvlJc w:val="left"/>
      <w:lvlText w:val="•"/>
      <w:numFmt w:val="bullet"/>
      <w:start w:val="1"/>
    </w:lvl>
  </w:abstractNum>
  <w:abstractNum w:abstractNumId="135">
    <w:nsid w:val="17180B0B"/>
    <w:multiLevelType w:val="hybridMultilevel"/>
    <w:lvl w:ilvl="0">
      <w:lvlJc w:val="left"/>
      <w:lvlText w:val="•"/>
      <w:numFmt w:val="bullet"/>
      <w:start w:val="1"/>
    </w:lvl>
  </w:abstractNum>
  <w:abstractNum w:abstractNumId="136">
    <w:nsid w:val="579328B9"/>
    <w:multiLevelType w:val="hybridMultilevel"/>
    <w:lvl w:ilvl="0">
      <w:lvlJc w:val="left"/>
      <w:lvlText w:val="•"/>
      <w:numFmt w:val="bullet"/>
      <w:start w:val="1"/>
    </w:lvl>
  </w:abstractNum>
  <w:abstractNum w:abstractNumId="137">
    <w:nsid w:val="5D205E20"/>
    <w:multiLevelType w:val="hybridMultilevel"/>
    <w:lvl w:ilvl="0">
      <w:lvlJc w:val="left"/>
      <w:lvlText w:val="•"/>
      <w:numFmt w:val="bullet"/>
      <w:start w:val="1"/>
    </w:lvl>
  </w:abstractNum>
  <w:abstractNum w:abstractNumId="138">
    <w:nsid w:val="11CCA8BA"/>
    <w:multiLevelType w:val="hybridMultilevel"/>
    <w:lvl w:ilvl="0">
      <w:lvlJc w:val="left"/>
      <w:lvlText w:val="(%1)"/>
      <w:numFmt w:val="lowerLetter"/>
      <w:start w:val="1"/>
    </w:lvl>
  </w:abstractNum>
  <w:abstractNum w:abstractNumId="139">
    <w:nsid w:val="4D32AB86"/>
    <w:multiLevelType w:val="hybridMultilevel"/>
    <w:lvl w:ilvl="0">
      <w:lvlJc w:val="left"/>
      <w:lvlText w:val="•"/>
      <w:numFmt w:val="bullet"/>
      <w:start w:val="1"/>
    </w:lvl>
  </w:abstractNum>
  <w:abstractNum w:abstractNumId="140">
    <w:nsid w:val="3F07ACC3"/>
    <w:multiLevelType w:val="hybridMultilevel"/>
    <w:lvl w:ilvl="0">
      <w:lvlJc w:val="left"/>
      <w:lvlText w:val="•"/>
      <w:numFmt w:val="bullet"/>
      <w:start w:val="1"/>
    </w:lvl>
  </w:abstractNum>
  <w:abstractNum w:abstractNumId="141">
    <w:nsid w:val="6B47F63E"/>
    <w:multiLevelType w:val="hybridMultilevel"/>
    <w:lvl w:ilvl="0">
      <w:lvlJc w:val="left"/>
      <w:lvlText w:val="•"/>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
      <w:numFmt w:val="bullet"/>
      <w:start w:val="1"/>
    </w:lvl>
  </w:abstractNum>
  <w:abstractNum w:abstractNumId="144">
    <w:nsid w:val="1C695DEC"/>
    <w:multiLevelType w:val="hybridMultilevel"/>
    <w:lvl w:ilvl="0">
      <w:lvlJc w:val="left"/>
      <w:lvlText w:val="•"/>
      <w:numFmt w:val="bullet"/>
      <w:start w:val="1"/>
    </w:lvl>
  </w:abstractNum>
  <w:abstractNum w:abstractNumId="145">
    <w:nsid w:val="3FCFAED9"/>
    <w:multiLevelType w:val="hybridMultilevel"/>
    <w:lvl w:ilvl="0">
      <w:lvlJc w:val="left"/>
      <w:lvlText w:val="•"/>
      <w:numFmt w:val="bullet"/>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
      <w:numFmt w:val="bullet"/>
      <w:start w:val="1"/>
    </w:lvl>
  </w:abstractNum>
  <w:abstractNum w:abstractNumId="148">
    <w:nsid w:val="2E22FBB7"/>
    <w:multiLevelType w:val="hybridMultilevel"/>
    <w:lvl w:ilvl="0">
      <w:lvlJc w:val="left"/>
      <w:lvlText w:val="•"/>
      <w:numFmt w:val="bullet"/>
      <w:start w:val="1"/>
    </w:lvl>
  </w:abstractNum>
  <w:abstractNum w:abstractNumId="149">
    <w:nsid w:val="29934699"/>
    <w:multiLevelType w:val="hybridMultilevel"/>
    <w:lvl w:ilvl="0">
      <w:lvlJc w:val="left"/>
      <w:lvlText w:val="•"/>
      <w:numFmt w:val="bullet"/>
      <w:start w:val="1"/>
    </w:lvl>
  </w:abstractNum>
  <w:abstractNum w:abstractNumId="150">
    <w:nsid w:val="77485850"/>
    <w:multiLevelType w:val="hybridMultilevel"/>
    <w:lvl w:ilvl="0">
      <w:lvlJc w:val="left"/>
      <w:lvlText w:val="•"/>
      <w:numFmt w:val="bullet"/>
      <w:start w:val="1"/>
    </w:lvl>
  </w:abstractNum>
  <w:abstractNum w:abstractNumId="151">
    <w:nsid w:val="744939A3"/>
    <w:multiLevelType w:val="hybridMultilevel"/>
    <w:lvl w:ilvl="0">
      <w:lvlJc w:val="left"/>
      <w:lvlText w:val="•"/>
      <w:numFmt w:val="bullet"/>
      <w:start w:val="1"/>
    </w:lvl>
  </w:abstractNum>
  <w:abstractNum w:abstractNumId="152">
    <w:nsid w:val="4FA0D2E3"/>
    <w:multiLevelType w:val="hybridMultilevel"/>
    <w:lvl w:ilvl="0">
      <w:lvlJc w:val="left"/>
      <w:lvlText w:val="•"/>
      <w:numFmt w:val="bullet"/>
      <w:start w:val="1"/>
    </w:lvl>
  </w:abstractNum>
  <w:abstractNum w:abstractNumId="153">
    <w:nsid w:val="6B1D2C14"/>
    <w:multiLevelType w:val="hybridMultilevel"/>
    <w:lvl w:ilvl="0">
      <w:lvlJc w:val="left"/>
      <w:lvlText w:val="%1)"/>
      <w:numFmt w:val="lowerLetter"/>
      <w:start w:val="1"/>
    </w:lvl>
    <w:lvl w:ilvl="1">
      <w:lvlJc w:val="left"/>
      <w:lvlText w:val="%2."/>
      <w:numFmt w:val="lowerRoman"/>
      <w:start w:val="1"/>
    </w:lvl>
  </w:abstractNum>
  <w:abstractNum w:abstractNumId="154">
    <w:nsid w:val="68B867D3"/>
    <w:multiLevelType w:val="hybridMultilevel"/>
    <w:lvl w:ilvl="0">
      <w:lvlJc w:val="left"/>
      <w:lvlText w:val="%1."/>
      <w:numFmt w:val="lowerRoman"/>
      <w:start w:val="2"/>
    </w:lvl>
  </w:abstractNum>
  <w:abstractNum w:abstractNumId="155">
    <w:nsid w:val="3F7F5DD9"/>
    <w:multiLevelType w:val="hybridMultilevel"/>
    <w:lvl w:ilvl="0">
      <w:lvlJc w:val="left"/>
      <w:lvlText w:val="%1)"/>
      <w:numFmt w:val="lowerLetter"/>
      <w:start w:val="2"/>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
      <w:numFmt w:val="bullet"/>
      <w:start w:val="1"/>
    </w:lvl>
  </w:abstractNum>
  <w:abstractNum w:abstractNumId="158">
    <w:nsid w:val="5454945E"/>
    <w:multiLevelType w:val="hybridMultilevel"/>
    <w:lvl w:ilvl="0">
      <w:lvlJc w:val="left"/>
      <w:lvlText w:val="(%1)"/>
      <w:numFmt w:val="decimal"/>
      <w:start w:val="2"/>
    </w:lvl>
  </w:abstractNum>
  <w:abstractNum w:abstractNumId="159">
    <w:nsid w:val="4DEFDFA0"/>
    <w:multiLevelType w:val="hybridMultilevel"/>
    <w:lvl w:ilvl="0">
      <w:lvlJc w:val="left"/>
      <w:lvlText w:val="•"/>
      <w:numFmt w:val="bullet"/>
      <w:start w:val="1"/>
    </w:lvl>
  </w:abstractNum>
  <w:abstractNum w:abstractNumId="160">
    <w:nsid w:val="2123D5F2"/>
    <w:multiLevelType w:val="hybridMultilevel"/>
    <w:lvl w:ilvl="0">
      <w:lvlJc w:val="left"/>
      <w:lvlText w:val="•"/>
      <w:numFmt w:val="bullet"/>
      <w:start w:val="1"/>
    </w:lvl>
  </w:abstractNum>
  <w:abstractNum w:abstractNumId="161">
    <w:nsid w:val="135B8110"/>
    <w:multiLevelType w:val="hybridMultilevel"/>
    <w:lvl w:ilvl="0">
      <w:lvlJc w:val="left"/>
      <w:lvlText w:val="(%1)"/>
      <w:numFmt w:val="lowerLetter"/>
      <w:start w:val="1"/>
    </w:lvl>
  </w:abstractNum>
  <w:abstractNum w:abstractNumId="162">
    <w:nsid w:val="94927A8"/>
    <w:multiLevelType w:val="hybridMultilevel"/>
    <w:lvl w:ilvl="0">
      <w:lvlJc w:val="left"/>
      <w:lvlText w:val="(%1)"/>
      <w:numFmt w:val="lowerLetter"/>
      <w:start w:val="1"/>
    </w:lvl>
  </w:abstractNum>
  <w:abstractNum w:abstractNumId="163">
    <w:nsid w:val="DCDF8F6"/>
    <w:multiLevelType w:val="hybridMultilevel"/>
    <w:lvl w:ilvl="0">
      <w:lvlJc w:val="left"/>
      <w:lvlText w:val="(%1)"/>
      <w:numFmt w:val="lowerLetter"/>
      <w:start w:val="4"/>
    </w:lvl>
  </w:abstractNum>
  <w:abstractNum w:abstractNumId="164">
    <w:nsid w:val="52D7B105"/>
    <w:multiLevelType w:val="hybridMultilevel"/>
    <w:lvl w:ilvl="0">
      <w:lvlJc w:val="left"/>
      <w:lvlText w:val="%1)"/>
      <w:numFmt w:val="decimal"/>
      <w:start w:val="1"/>
    </w:lvl>
  </w:abstractNum>
  <w:abstractNum w:abstractNumId="165">
    <w:nsid w:val="2E8A6394"/>
    <w:multiLevelType w:val="hybridMultilevel"/>
    <w:lvl w:ilvl="0">
      <w:lvlJc w:val="left"/>
      <w:lvlText w:val="(%1)"/>
      <w:numFmt w:val="lowerRoman"/>
      <w:start w:val="1"/>
    </w:lvl>
  </w:abstractNum>
  <w:abstractNum w:abstractNumId="166">
    <w:nsid w:val="24E60401"/>
    <w:multiLevelType w:val="hybridMultilevel"/>
    <w:lvl w:ilvl="0">
      <w:lvlJc w:val="left"/>
      <w:lvlText w:val="%1."/>
      <w:numFmt w:val="decimal"/>
      <w:start w:val="6"/>
    </w:lvl>
    <w:lvl w:ilvl="1">
      <w:lvlJc w:val="left"/>
      <w:lvlText w:val="%2)"/>
      <w:numFmt w:val="decimal"/>
      <w:start w:val="1"/>
    </w:lvl>
  </w:abstractNum>
  <w:abstractNum w:abstractNumId="167">
    <w:nsid w:val="2A6AD9BE"/>
    <w:multiLevelType w:val="hybridMultilevel"/>
    <w:lvl w:ilvl="0">
      <w:lvlJc w:val="left"/>
      <w:lvlText w:val="(%1)"/>
      <w:numFmt w:val="decimal"/>
      <w:start w:val="1"/>
    </w:lvl>
    <w:lvl w:ilvl="1">
      <w:lvlJc w:val="left"/>
      <w:lvlText w:val="%2)"/>
      <w:numFmt w:val="decimal"/>
      <w:start w:val="2"/>
    </w:lvl>
  </w:abstractNum>
  <w:abstractNum w:abstractNumId="168">
    <w:nsid w:val="BAAC1B4"/>
    <w:multiLevelType w:val="hybridMultilevel"/>
    <w:lvl w:ilvl="0">
      <w:lvlJc w:val="left"/>
      <w:lvlText w:val="(%1)"/>
      <w:numFmt w:val="lowerRoman"/>
      <w:start w:val="1"/>
    </w:lvl>
  </w:abstractNum>
  <w:abstractNum w:abstractNumId="169">
    <w:nsid w:val="36B2ACBC"/>
    <w:multiLevelType w:val="hybridMultilevel"/>
    <w:lvl w:ilvl="0">
      <w:lvlJc w:val="left"/>
      <w:lvlText w:val="%1."/>
      <w:numFmt w:val="decimal"/>
      <w:start w:val="10"/>
    </w:lvl>
  </w:abstractNum>
  <w:abstractNum w:abstractNumId="170">
    <w:nsid w:val="779D8544"/>
    <w:multiLevelType w:val="hybridMultilevel"/>
    <w:lvl w:ilvl="0">
      <w:lvlJc w:val="left"/>
      <w:lvlText w:val="%1."/>
      <w:numFmt w:val="decimal"/>
      <w:start w:val="12"/>
    </w:lvl>
  </w:abstractNum>
  <w:abstractNum w:abstractNumId="171">
    <w:nsid w:val="4AB26E78"/>
    <w:multiLevelType w:val="hybridMultilevel"/>
    <w:lvl w:ilvl="0">
      <w:lvlJc w:val="left"/>
      <w:lvlText w:val="(%1)"/>
      <w:numFmt w:val="lowerRoman"/>
      <w:start w:val="1"/>
    </w:lvl>
  </w:abstractNum>
  <w:abstractNum w:abstractNumId="172">
    <w:nsid w:val="21FAA2FA"/>
    <w:multiLevelType w:val="hybridMultilevel"/>
    <w:lvl w:ilvl="0">
      <w:lvlJc w:val="left"/>
      <w:lvlText w:val="%1."/>
      <w:numFmt w:val="decimal"/>
      <w:start w:val="13"/>
    </w:lvl>
  </w:abstractNum>
  <w:abstractNum w:abstractNumId="173">
    <w:nsid w:val="5451CF49"/>
    <w:multiLevelType w:val="hybridMultilevel"/>
    <w:lvl w:ilvl="0">
      <w:lvlJc w:val="left"/>
      <w:lvlText w:val="%1."/>
      <w:numFmt w:val="decimal"/>
      <w:start w:val="14"/>
    </w:lvl>
  </w:abstractNum>
  <w:abstractNum w:abstractNumId="174">
    <w:nsid w:val="6181EF69"/>
    <w:multiLevelType w:val="hybridMultilevel"/>
    <w:lvl w:ilvl="0">
      <w:lvlJc w:val="left"/>
      <w:lvlText w:val="(%1)"/>
      <w:numFmt w:val="decimal"/>
      <w:start w:val="1"/>
    </w:lvl>
  </w:abstractNum>
  <w:abstractNum w:abstractNumId="175">
    <w:nsid w:val="3E6400E6"/>
    <w:multiLevelType w:val="hybridMultilevel"/>
    <w:lvl w:ilvl="0">
      <w:lvlJc w:val="left"/>
      <w:lvlText w:val="%1."/>
      <w:numFmt w:val="decimal"/>
      <w:start w:val="16"/>
    </w:lvl>
  </w:abstractNum>
  <w:abstractNum w:abstractNumId="176">
    <w:nsid w:val="14217E23"/>
    <w:multiLevelType w:val="hybridMultilevel"/>
    <w:lvl w:ilvl="0">
      <w:lvlJc w:val="left"/>
      <w:lvlText w:val="%1."/>
      <w:numFmt w:val="decimal"/>
      <w:start w:val="19"/>
    </w:lvl>
  </w:abstractNum>
  <w:abstractNum w:abstractNumId="177">
    <w:nsid w:val="710757D0"/>
    <w:multiLevelType w:val="hybridMultilevel"/>
    <w:lvl w:ilvl="0">
      <w:lvlJc w:val="left"/>
      <w:lvlText w:val="%1."/>
      <w:numFmt w:val="decimal"/>
      <w:start w:val="20"/>
    </w:lvl>
  </w:abstractNum>
  <w:abstractNum w:abstractNumId="178">
    <w:nsid w:val="5015CD1A"/>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2026-06-26T06:05:26Z</dcterms:created>
  <dcterms:modified xsi:type="dcterms:W3CDTF">2026-06-26T06:05:26Z</dcterms:modified>
</cp:coreProperties>
</file>